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D3503">
      <w:pPr>
        <w:spacing w:line="240" w:lineRule="exact"/>
        <w:jc w:val="right"/>
        <w:rPr>
          <w:rFonts w:ascii="Times New Roman" w:hAnsi="Times New Roman"/>
        </w:rPr>
      </w:pPr>
    </w:p>
    <w:p w14:paraId="4B3F136A">
      <w:pPr>
        <w:tabs>
          <w:tab w:val="left" w:pos="3433"/>
          <w:tab w:val="left" w:pos="4680"/>
          <w:tab w:val="right" w:pos="8152"/>
        </w:tabs>
        <w:spacing w:line="400" w:lineRule="exact"/>
        <w:ind w:right="16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6323BC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Content"/>
    </w:p>
    <w:p w14:paraId="7BE8DF0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黑龙江省煤矿安全生产标准化管理体系</w:t>
      </w:r>
    </w:p>
    <w:p w14:paraId="3701433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b w:val="0"/>
          <w:bCs w:val="0"/>
          <w:color w:val="auto"/>
          <w:sz w:val="32"/>
          <w:szCs w:val="32"/>
          <w:highlight w:val="none"/>
        </w:rPr>
      </w:pPr>
      <w:r>
        <w:rPr>
          <w:rFonts w:hint="eastAsia" w:ascii="方正小标宋简体" w:hAnsi="方正小标宋简体" w:eastAsia="方正小标宋简体" w:cs="方正小标宋简体"/>
          <w:color w:val="auto"/>
          <w:sz w:val="44"/>
          <w:szCs w:val="44"/>
          <w:highlight w:val="none"/>
          <w:lang w:eastAsia="zh-CN"/>
        </w:rPr>
        <w:t>考核定级实施细则</w:t>
      </w:r>
    </w:p>
    <w:p w14:paraId="46B17669">
      <w:pPr>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黑体" w:hAnsi="黑体" w:eastAsia="黑体" w:cs="黑体"/>
          <w:b w:val="0"/>
          <w:bCs w:val="0"/>
          <w:color w:val="auto"/>
          <w:sz w:val="32"/>
          <w:szCs w:val="32"/>
          <w:highlight w:val="none"/>
        </w:rPr>
      </w:pPr>
    </w:p>
    <w:p w14:paraId="74B06B33">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第一条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为进一步加强煤矿安全生产基础建设，提升煤矿安全保障能力，依据《国家矿山安全监察局关于印发〈煤矿安全生产标准化管理体系考核定级办法</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和《煤矿安全生产标准化管理体系基本要求及评分方法</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的通知》</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矿安〔</w:t>
      </w:r>
      <w:r>
        <w:rPr>
          <w:rFonts w:hint="default" w:ascii="Times New Roman" w:hAnsi="Times New Roman" w:eastAsia="仿宋_GB2312" w:cs="Times New Roman"/>
          <w:color w:val="auto"/>
          <w:sz w:val="32"/>
          <w:szCs w:val="32"/>
          <w:highlight w:val="none"/>
        </w:rPr>
        <w:t>2024</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109</w:t>
      </w:r>
      <w:r>
        <w:rPr>
          <w:rFonts w:hint="eastAsia" w:ascii="仿宋_GB2312" w:hAnsi="仿宋_GB2312" w:eastAsia="仿宋_GB2312" w:cs="仿宋_GB2312"/>
          <w:color w:val="auto"/>
          <w:sz w:val="32"/>
          <w:szCs w:val="32"/>
          <w:highlight w:val="none"/>
        </w:rPr>
        <w:t>号</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及有关规定，制定本细则。</w:t>
      </w:r>
    </w:p>
    <w:p w14:paraId="67741018">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本细则适用于省内所有合法的生产煤矿。新建、改建</w:t>
      </w:r>
      <w:r>
        <w:rPr>
          <w:rFonts w:hint="eastAsia" w:ascii="仿宋_GB2312" w:hAnsi="仿宋_GB2312" w:eastAsia="仿宋_GB2312" w:cs="仿宋_GB2312"/>
          <w:color w:val="auto"/>
          <w:sz w:val="32"/>
          <w:szCs w:val="32"/>
          <w:highlight w:val="none"/>
          <w:lang w:eastAsia="zh-CN"/>
        </w:rPr>
        <w:t>、扩建</w:t>
      </w:r>
      <w:r>
        <w:rPr>
          <w:rFonts w:hint="eastAsia" w:ascii="仿宋_GB2312" w:hAnsi="仿宋_GB2312" w:eastAsia="仿宋_GB2312" w:cs="仿宋_GB2312"/>
          <w:color w:val="auto"/>
          <w:sz w:val="32"/>
          <w:szCs w:val="32"/>
          <w:highlight w:val="none"/>
        </w:rPr>
        <w:t>煤矿可</w:t>
      </w:r>
      <w:r>
        <w:rPr>
          <w:rFonts w:hint="eastAsia" w:ascii="仿宋_GB2312" w:hAnsi="仿宋_GB2312" w:eastAsia="仿宋_GB2312" w:cs="仿宋_GB2312"/>
          <w:color w:val="auto"/>
          <w:sz w:val="32"/>
          <w:szCs w:val="32"/>
          <w:highlight w:val="none"/>
          <w:lang w:val="en-US" w:eastAsia="zh-CN"/>
        </w:rPr>
        <w:t>参照</w:t>
      </w:r>
      <w:r>
        <w:rPr>
          <w:rFonts w:hint="eastAsia" w:ascii="仿宋_GB2312" w:hAnsi="仿宋_GB2312" w:eastAsia="仿宋_GB2312" w:cs="仿宋_GB2312"/>
          <w:color w:val="auto"/>
          <w:sz w:val="32"/>
          <w:szCs w:val="32"/>
          <w:highlight w:val="none"/>
        </w:rPr>
        <w:t>执行。</w:t>
      </w:r>
    </w:p>
    <w:p w14:paraId="2C4677EF">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新建、改建</w:t>
      </w:r>
      <w:r>
        <w:rPr>
          <w:rFonts w:hint="eastAsia" w:ascii="仿宋_GB2312" w:hAnsi="仿宋_GB2312" w:eastAsia="仿宋_GB2312" w:cs="仿宋_GB2312"/>
          <w:color w:val="auto"/>
          <w:sz w:val="32"/>
          <w:szCs w:val="32"/>
          <w:highlight w:val="none"/>
          <w:lang w:eastAsia="zh-CN"/>
        </w:rPr>
        <w:t>、扩建</w:t>
      </w:r>
      <w:r>
        <w:rPr>
          <w:rFonts w:hint="eastAsia" w:ascii="仿宋_GB2312" w:hAnsi="仿宋_GB2312" w:eastAsia="仿宋_GB2312" w:cs="仿宋_GB2312"/>
          <w:color w:val="auto"/>
          <w:sz w:val="32"/>
          <w:szCs w:val="32"/>
          <w:highlight w:val="none"/>
        </w:rPr>
        <w:t>煤矿</w:t>
      </w:r>
      <w:r>
        <w:rPr>
          <w:rFonts w:hint="eastAsia" w:ascii="仿宋_GB2312" w:hAnsi="仿宋_GB2312" w:eastAsia="仿宋_GB2312" w:cs="仿宋_GB2312"/>
          <w:color w:val="auto"/>
          <w:sz w:val="32"/>
          <w:szCs w:val="32"/>
          <w:highlight w:val="none"/>
          <w:u w:val="none"/>
        </w:rPr>
        <w:t>联合试运转期间、停产煤矿（无安全生产标准化等级）复产验收前</w:t>
      </w:r>
      <w:r>
        <w:rPr>
          <w:rFonts w:hint="eastAsia" w:ascii="仿宋_GB2312" w:hAnsi="仿宋_GB2312" w:eastAsia="仿宋_GB2312" w:cs="仿宋_GB2312"/>
          <w:color w:val="auto"/>
          <w:sz w:val="32"/>
          <w:szCs w:val="32"/>
          <w:highlight w:val="none"/>
        </w:rPr>
        <w:t>，可申请煤矿安全生产标准化管理体系考核定级。</w:t>
      </w:r>
    </w:p>
    <w:p w14:paraId="7F46BA7C">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第三条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考核定级标准执行《煤矿安全生产标准化管理体系 基本要求及评分方法》（以下简称《评分办法》）。</w:t>
      </w:r>
    </w:p>
    <w:p w14:paraId="2344428F">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 xml:space="preserve">第四条 </w:t>
      </w:r>
      <w:r>
        <w:rPr>
          <w:rFonts w:hint="eastAsia" w:ascii="仿宋_GB2312" w:hAnsi="仿宋_GB2312" w:eastAsia="仿宋_GB2312" w:cs="仿宋_GB2312"/>
          <w:color w:val="auto"/>
          <w:sz w:val="32"/>
          <w:szCs w:val="32"/>
          <w:highlight w:val="none"/>
        </w:rPr>
        <w:t xml:space="preserve"> 煤矿安全生产标准化管理体系等级分为一级、二级、三级</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个等级，所应达到的要求为：</w:t>
      </w:r>
    </w:p>
    <w:p w14:paraId="6CDC7A1B">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一级：</w:t>
      </w:r>
      <w:r>
        <w:rPr>
          <w:rFonts w:hint="eastAsia" w:ascii="仿宋_GB2312" w:hAnsi="仿宋_GB2312" w:eastAsia="仿宋_GB2312" w:cs="仿宋_GB2312"/>
          <w:color w:val="auto"/>
          <w:sz w:val="32"/>
          <w:szCs w:val="32"/>
          <w:highlight w:val="none"/>
        </w:rPr>
        <w:t>煤矿安全生产标准化管理体系考核总得分不低于</w:t>
      </w:r>
      <w:r>
        <w:rPr>
          <w:rFonts w:hint="default" w:ascii="Times New Roman" w:hAnsi="Times New Roman" w:eastAsia="仿宋_GB2312" w:cs="Times New Roman"/>
          <w:color w:val="auto"/>
          <w:sz w:val="32"/>
          <w:szCs w:val="32"/>
          <w:highlight w:val="none"/>
        </w:rPr>
        <w:t>90</w:t>
      </w:r>
      <w:r>
        <w:rPr>
          <w:rFonts w:hint="eastAsia" w:ascii="仿宋_GB2312" w:hAnsi="仿宋_GB2312" w:eastAsia="仿宋_GB2312" w:cs="仿宋_GB2312"/>
          <w:color w:val="auto"/>
          <w:sz w:val="32"/>
          <w:szCs w:val="32"/>
          <w:highlight w:val="none"/>
        </w:rPr>
        <w:t>分，重大灾害防治、专业管理部分评分不低于</w:t>
      </w:r>
      <w:r>
        <w:rPr>
          <w:rFonts w:hint="default" w:ascii="Times New Roman" w:hAnsi="Times New Roman" w:eastAsia="仿宋_GB2312" w:cs="Times New Roman"/>
          <w:color w:val="auto"/>
          <w:sz w:val="32"/>
          <w:szCs w:val="32"/>
          <w:highlight w:val="none"/>
        </w:rPr>
        <w:t>90</w:t>
      </w:r>
      <w:r>
        <w:rPr>
          <w:rFonts w:hint="eastAsia" w:ascii="仿宋_GB2312" w:hAnsi="仿宋_GB2312" w:eastAsia="仿宋_GB2312" w:cs="仿宋_GB2312"/>
          <w:color w:val="auto"/>
          <w:sz w:val="32"/>
          <w:szCs w:val="32"/>
          <w:highlight w:val="none"/>
        </w:rPr>
        <w:t>分，安全基础管理部分评分不低于</w:t>
      </w:r>
      <w:r>
        <w:rPr>
          <w:rFonts w:hint="default" w:ascii="Times New Roman" w:hAnsi="Times New Roman" w:eastAsia="仿宋_GB2312" w:cs="Times New Roman"/>
          <w:color w:val="auto"/>
          <w:sz w:val="32"/>
          <w:szCs w:val="32"/>
          <w:highlight w:val="none"/>
        </w:rPr>
        <w:t>85</w:t>
      </w:r>
      <w:r>
        <w:rPr>
          <w:rFonts w:hint="eastAsia" w:ascii="仿宋_GB2312" w:hAnsi="仿宋_GB2312" w:eastAsia="仿宋_GB2312" w:cs="仿宋_GB2312"/>
          <w:color w:val="auto"/>
          <w:sz w:val="32"/>
          <w:szCs w:val="32"/>
          <w:highlight w:val="none"/>
        </w:rPr>
        <w:t>分，且不存在下列情形</w:t>
      </w:r>
      <w:r>
        <w:rPr>
          <w:rFonts w:hint="default" w:ascii="仿宋_GB2312" w:hAnsi="仿宋_GB2312" w:eastAsia="仿宋_GB2312" w:cs="仿宋_GB2312"/>
          <w:color w:val="auto"/>
          <w:sz w:val="32"/>
          <w:szCs w:val="32"/>
          <w:highlight w:val="none"/>
        </w:rPr>
        <w:t>。</w:t>
      </w:r>
    </w:p>
    <w:p w14:paraId="6EE6D18F">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.发生生产安全死亡事故，自事故发生之日起，一般事故未 满</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年、较大及重大事故未满</w:t>
      </w: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年、特别重大事故未满</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年的；</w:t>
      </w:r>
    </w:p>
    <w:p w14:paraId="3D3CB295">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.安全生产标准化管理体系一级检查考核未通过，自考核定 级部门检查之日起未满</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年的；</w:t>
      </w:r>
    </w:p>
    <w:p w14:paraId="1497B3CA">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.被降级或</w:t>
      </w:r>
      <w:r>
        <w:rPr>
          <w:rFonts w:hint="eastAsia" w:ascii="仿宋_GB2312" w:hAnsi="仿宋_GB2312" w:eastAsia="仿宋_GB2312" w:cs="仿宋_GB2312"/>
          <w:color w:val="auto"/>
          <w:sz w:val="32"/>
          <w:szCs w:val="32"/>
          <w:highlight w:val="none"/>
          <w:lang w:eastAsia="zh-CN"/>
        </w:rPr>
        <w:t>撤消</w:t>
      </w:r>
      <w:r>
        <w:rPr>
          <w:rFonts w:hint="eastAsia" w:ascii="仿宋_GB2312" w:hAnsi="仿宋_GB2312" w:eastAsia="仿宋_GB2312" w:cs="仿宋_GB2312"/>
          <w:color w:val="auto"/>
          <w:sz w:val="32"/>
          <w:szCs w:val="32"/>
          <w:highlight w:val="none"/>
        </w:rPr>
        <w:t>等级未满</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年的；</w:t>
      </w:r>
    </w:p>
    <w:p w14:paraId="2D3C10A5">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eastAsia" w:ascii="仿宋_GB2312" w:hAnsi="仿宋_GB2312" w:eastAsia="仿宋_GB2312" w:cs="仿宋_GB2312"/>
          <w:color w:val="auto"/>
          <w:sz w:val="32"/>
          <w:szCs w:val="32"/>
          <w:highlight w:val="none"/>
        </w:rPr>
        <w:t>.被列入安全生产严重失信主体名单管理期间的。</w:t>
      </w:r>
    </w:p>
    <w:p w14:paraId="6BC8DD2B">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二级：</w:t>
      </w:r>
      <w:r>
        <w:rPr>
          <w:rFonts w:hint="eastAsia" w:ascii="仿宋_GB2312" w:hAnsi="仿宋_GB2312" w:eastAsia="仿宋_GB2312" w:cs="仿宋_GB2312"/>
          <w:color w:val="auto"/>
          <w:sz w:val="32"/>
          <w:szCs w:val="32"/>
          <w:highlight w:val="none"/>
        </w:rPr>
        <w:t>煤矿安全生产标准化管理体系考核总得分及各管理部分得分均不低于</w:t>
      </w:r>
      <w:r>
        <w:rPr>
          <w:rFonts w:hint="default" w:ascii="Times New Roman" w:hAnsi="Times New Roman" w:eastAsia="仿宋_GB2312" w:cs="Times New Roman"/>
          <w:color w:val="auto"/>
          <w:sz w:val="32"/>
          <w:szCs w:val="32"/>
          <w:highlight w:val="none"/>
        </w:rPr>
        <w:t>80</w:t>
      </w:r>
      <w:r>
        <w:rPr>
          <w:rFonts w:hint="eastAsia" w:ascii="仿宋_GB2312" w:hAnsi="仿宋_GB2312" w:eastAsia="仿宋_GB2312" w:cs="仿宋_GB2312"/>
          <w:color w:val="auto"/>
          <w:sz w:val="32"/>
          <w:szCs w:val="32"/>
          <w:highlight w:val="none"/>
        </w:rPr>
        <w:t>分，且不存在下列情形</w:t>
      </w:r>
      <w:r>
        <w:rPr>
          <w:rFonts w:hint="default" w:ascii="仿宋_GB2312" w:hAnsi="仿宋_GB2312" w:eastAsia="仿宋_GB2312" w:cs="仿宋_GB2312"/>
          <w:color w:val="auto"/>
          <w:sz w:val="32"/>
          <w:szCs w:val="32"/>
          <w:highlight w:val="none"/>
        </w:rPr>
        <w:t>。</w:t>
      </w:r>
    </w:p>
    <w:p w14:paraId="08130444">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.发生生产安全死亡事故，自事故发生之日起，一般事故未 满半年、较大及重大事故未满</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年、特别重大事故未满</w:t>
      </w: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年的；</w:t>
      </w:r>
    </w:p>
    <w:p w14:paraId="4D6E3834">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.被降级或</w:t>
      </w:r>
      <w:r>
        <w:rPr>
          <w:rFonts w:hint="eastAsia" w:ascii="仿宋_GB2312" w:hAnsi="仿宋_GB2312" w:eastAsia="仿宋_GB2312" w:cs="仿宋_GB2312"/>
          <w:color w:val="auto"/>
          <w:sz w:val="32"/>
          <w:szCs w:val="32"/>
          <w:highlight w:val="none"/>
          <w:lang w:eastAsia="zh-CN"/>
        </w:rPr>
        <w:t>撤消</w:t>
      </w:r>
      <w:r>
        <w:rPr>
          <w:rFonts w:hint="eastAsia" w:ascii="仿宋_GB2312" w:hAnsi="仿宋_GB2312" w:eastAsia="仿宋_GB2312" w:cs="仿宋_GB2312"/>
          <w:color w:val="auto"/>
          <w:sz w:val="32"/>
          <w:szCs w:val="32"/>
          <w:highlight w:val="none"/>
        </w:rPr>
        <w:t>等级未满半年的。</w:t>
      </w:r>
    </w:p>
    <w:p w14:paraId="657CF4B4">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三级：</w:t>
      </w:r>
      <w:r>
        <w:rPr>
          <w:rFonts w:hint="eastAsia" w:ascii="仿宋_GB2312" w:hAnsi="仿宋_GB2312" w:eastAsia="仿宋_GB2312" w:cs="仿宋_GB2312"/>
          <w:color w:val="auto"/>
          <w:sz w:val="32"/>
          <w:szCs w:val="32"/>
          <w:highlight w:val="none"/>
        </w:rPr>
        <w:t>煤矿安全生产标准化管理体系考核总得分及管理部分 得分均不低于</w:t>
      </w:r>
      <w:r>
        <w:rPr>
          <w:rFonts w:hint="default" w:ascii="Times New Roman" w:hAnsi="Times New Roman" w:eastAsia="仿宋_GB2312" w:cs="Times New Roman"/>
          <w:color w:val="auto"/>
          <w:sz w:val="32"/>
          <w:szCs w:val="32"/>
          <w:highlight w:val="none"/>
        </w:rPr>
        <w:t>70</w:t>
      </w:r>
      <w:r>
        <w:rPr>
          <w:rFonts w:hint="eastAsia" w:ascii="仿宋_GB2312" w:hAnsi="仿宋_GB2312" w:eastAsia="仿宋_GB2312" w:cs="仿宋_GB2312"/>
          <w:color w:val="auto"/>
          <w:sz w:val="32"/>
          <w:szCs w:val="32"/>
          <w:highlight w:val="none"/>
        </w:rPr>
        <w:t>分。</w:t>
      </w:r>
    </w:p>
    <w:p w14:paraId="0151D93B">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第五条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煤矿安全生产标准化管理体系等级实行分级考核定级。</w:t>
      </w:r>
    </w:p>
    <w:p w14:paraId="2A934430">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申报一级的煤矿由黑龙江省应急管理厅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以下简称省应急管理厅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组织初审，国家矿山安全监察局</w:t>
      </w:r>
      <w:r>
        <w:rPr>
          <w:rFonts w:hint="eastAsia" w:ascii="仿宋_GB2312" w:hAnsi="仿宋_GB2312" w:eastAsia="仿宋_GB2312" w:cs="仿宋_GB2312"/>
          <w:color w:val="auto"/>
          <w:sz w:val="32"/>
          <w:szCs w:val="32"/>
          <w:highlight w:val="none"/>
          <w:lang w:val="en-US" w:eastAsia="zh-CN"/>
        </w:rPr>
        <w:t>组织考核定级</w:t>
      </w:r>
      <w:r>
        <w:rPr>
          <w:rFonts w:hint="eastAsia" w:ascii="仿宋_GB2312" w:hAnsi="仿宋_GB2312" w:eastAsia="仿宋_GB2312" w:cs="仿宋_GB2312"/>
          <w:color w:val="auto"/>
          <w:sz w:val="32"/>
          <w:szCs w:val="32"/>
          <w:highlight w:val="none"/>
        </w:rPr>
        <w:t>。</w:t>
      </w:r>
    </w:p>
    <w:p w14:paraId="5F94C3D7">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申报二级的煤矿由所在市</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地</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煤矿安全生产标准化工作主管部门组织初审，</w:t>
      </w:r>
      <w:r>
        <w:rPr>
          <w:rFonts w:hint="eastAsia" w:ascii="仿宋_GB2312" w:hAnsi="仿宋_GB2312" w:eastAsia="仿宋_GB2312" w:cs="仿宋_GB2312"/>
          <w:color w:val="auto"/>
          <w:sz w:val="32"/>
          <w:szCs w:val="32"/>
          <w:highlight w:val="none"/>
          <w:lang w:eastAsia="zh-CN"/>
        </w:rPr>
        <w:t>省应急管理厅</w:t>
      </w:r>
      <w:r>
        <w:rPr>
          <w:rFonts w:hint="eastAsia" w:ascii="仿宋_GB2312" w:hAnsi="仿宋_GB2312" w:eastAsia="仿宋_GB2312" w:cs="仿宋_GB2312"/>
          <w:color w:val="auto"/>
          <w:sz w:val="32"/>
          <w:szCs w:val="32"/>
          <w:highlight w:val="none"/>
        </w:rPr>
        <w:t>组织考核定级。</w:t>
      </w:r>
    </w:p>
    <w:p w14:paraId="5C838D9F">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申报三级的煤矿由所在县</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市、区</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煤矿安全生产标准化工作主管部门组织初审,市</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地</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煤矿安全生产标准化工作主管部门组织考核定级</w:t>
      </w:r>
      <w:r>
        <w:rPr>
          <w:rFonts w:hint="eastAsia" w:ascii="仿宋_GB2312" w:hAnsi="仿宋_GB2312" w:eastAsia="仿宋_GB2312" w:cs="仿宋_GB2312"/>
          <w:color w:val="auto"/>
          <w:sz w:val="32"/>
          <w:szCs w:val="32"/>
          <w:highlight w:val="none"/>
          <w:lang w:eastAsia="zh-CN"/>
        </w:rPr>
        <w:t>；市级直接监管的中央、省属企业所属煤矿</w:t>
      </w:r>
      <w:r>
        <w:rPr>
          <w:rFonts w:hint="eastAsia" w:ascii="仿宋_GB2312" w:hAnsi="仿宋_GB2312" w:eastAsia="仿宋_GB2312" w:cs="仿宋_GB2312"/>
          <w:color w:val="auto"/>
          <w:sz w:val="32"/>
          <w:szCs w:val="32"/>
          <w:highlight w:val="none"/>
          <w:lang w:val="en-US" w:eastAsia="zh-CN"/>
        </w:rPr>
        <w:t>经上级公司审查合格后，</w:t>
      </w:r>
      <w:r>
        <w:rPr>
          <w:rFonts w:hint="eastAsia" w:ascii="仿宋_GB2312" w:hAnsi="仿宋_GB2312" w:eastAsia="仿宋_GB2312" w:cs="仿宋_GB2312"/>
          <w:color w:val="auto"/>
          <w:sz w:val="32"/>
          <w:szCs w:val="32"/>
          <w:highlight w:val="none"/>
          <w:lang w:eastAsia="zh-CN"/>
        </w:rPr>
        <w:t>报所在</w:t>
      </w:r>
      <w:r>
        <w:rPr>
          <w:rFonts w:hint="eastAsia" w:ascii="仿宋_GB2312" w:hAnsi="仿宋_GB2312" w:eastAsia="仿宋_GB2312" w:cs="仿宋_GB2312"/>
          <w:color w:val="auto"/>
          <w:sz w:val="32"/>
          <w:szCs w:val="32"/>
          <w:highlight w:val="none"/>
        </w:rPr>
        <w:t>市</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地</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煤矿安全生产标准化工作主管部门组织考核定级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考核结果</w:t>
      </w:r>
      <w:r>
        <w:rPr>
          <w:rFonts w:hint="eastAsia" w:ascii="仿宋_GB2312" w:hAnsi="仿宋_GB2312" w:eastAsia="仿宋_GB2312" w:cs="仿宋_GB2312"/>
          <w:color w:val="auto"/>
          <w:sz w:val="32"/>
          <w:szCs w:val="32"/>
          <w:highlight w:val="none"/>
        </w:rPr>
        <w:t>报省应急管理厅备案。</w:t>
      </w:r>
    </w:p>
    <w:p w14:paraId="2FFB2126">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煤矿安全生产标准化管理体系考核定级按照企业自评申报、初审、考核、公示、公告的程序进行。省应急管理厅</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市</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地</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煤矿安全生产标准化工作主管部门原则上应在收到煤矿企业申请后的</w:t>
      </w:r>
      <w:r>
        <w:rPr>
          <w:rFonts w:hint="default" w:ascii="Times New Roman" w:hAnsi="Times New Roman" w:eastAsia="仿宋_GB2312" w:cs="Times New Roman"/>
          <w:color w:val="auto"/>
          <w:sz w:val="32"/>
          <w:szCs w:val="32"/>
          <w:highlight w:val="none"/>
        </w:rPr>
        <w:t>60</w:t>
      </w:r>
      <w:r>
        <w:rPr>
          <w:rFonts w:hint="eastAsia" w:ascii="仿宋_GB2312" w:hAnsi="仿宋_GB2312" w:eastAsia="仿宋_GB2312" w:cs="仿宋_GB2312"/>
          <w:color w:val="auto"/>
          <w:sz w:val="32"/>
          <w:szCs w:val="32"/>
          <w:highlight w:val="none"/>
        </w:rPr>
        <w:t>个工作日内完成考核定级。煤矿企业和各级煤矿安全生产标准化工作主管部门，应通过国家矿山安全监察局“矿山安全生产综合信息系统</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安全生产标准化”</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信息系统</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完成申报、初审、考核、公示、公告等各环节工作。未按照规定的程序和信息化方式开展考核定级等工作的，不予公告确认。</w:t>
      </w:r>
    </w:p>
    <w:p w14:paraId="4AF68B3C">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自评申报。</w:t>
      </w:r>
      <w:r>
        <w:rPr>
          <w:rFonts w:hint="eastAsia" w:ascii="仿宋_GB2312" w:hAnsi="仿宋_GB2312" w:eastAsia="仿宋_GB2312" w:cs="仿宋_GB2312"/>
          <w:color w:val="auto"/>
          <w:sz w:val="32"/>
          <w:szCs w:val="32"/>
          <w:highlight w:val="none"/>
        </w:rPr>
        <w:t>煤矿对照《评分办法》全面自评，形成自 评报告，填写煤矿安全生产标准化管理体系等级申报表，</w:t>
      </w:r>
      <w:r>
        <w:rPr>
          <w:rFonts w:hint="eastAsia" w:ascii="仿宋_GB2312" w:hAnsi="仿宋_GB2312" w:eastAsia="仿宋_GB2312" w:cs="仿宋_GB2312"/>
          <w:color w:val="auto"/>
          <w:sz w:val="32"/>
          <w:szCs w:val="32"/>
          <w:highlight w:val="none"/>
          <w:lang w:eastAsia="zh-CN"/>
        </w:rPr>
        <w:t>依据拟申报的等级向初审部门提出申请</w:t>
      </w:r>
      <w:r>
        <w:rPr>
          <w:rFonts w:hint="eastAsia" w:ascii="仿宋_GB2312" w:hAnsi="仿宋_GB2312" w:eastAsia="仿宋_GB2312" w:cs="仿宋_GB2312"/>
          <w:color w:val="auto"/>
          <w:sz w:val="32"/>
          <w:szCs w:val="32"/>
          <w:highlight w:val="none"/>
        </w:rPr>
        <w:t>。</w:t>
      </w:r>
    </w:p>
    <w:p w14:paraId="185DD6BD">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初审</w:t>
      </w:r>
      <w:r>
        <w:rPr>
          <w:rFonts w:hint="eastAsia" w:ascii="楷体" w:hAnsi="楷体" w:eastAsia="楷体" w:cs="楷体"/>
          <w:color w:val="auto"/>
          <w:sz w:val="32"/>
          <w:szCs w:val="32"/>
          <w:highlight w:val="none"/>
        </w:rPr>
        <w:t>。</w:t>
      </w:r>
      <w:r>
        <w:rPr>
          <w:rFonts w:hint="eastAsia" w:ascii="仿宋_GB2312" w:hAnsi="仿宋_GB2312" w:eastAsia="仿宋_GB2312" w:cs="仿宋_GB2312"/>
          <w:color w:val="auto"/>
          <w:sz w:val="32"/>
          <w:szCs w:val="32"/>
          <w:highlight w:val="none"/>
        </w:rPr>
        <w:t>初审部门收到煤矿申请后，应及时进行材料审查，其中，申报一级的还应进行现场检查，申报二级、三级的视情况开展现场检查或抽查，经初审合格后上报负责考核定级的部门。</w:t>
      </w:r>
    </w:p>
    <w:p w14:paraId="760499DD">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考核。</w:t>
      </w:r>
      <w:r>
        <w:rPr>
          <w:rFonts w:hint="eastAsia" w:ascii="仿宋_GB2312" w:hAnsi="仿宋_GB2312" w:eastAsia="仿宋_GB2312" w:cs="仿宋_GB2312"/>
          <w:color w:val="auto"/>
          <w:sz w:val="32"/>
          <w:szCs w:val="32"/>
          <w:highlight w:val="none"/>
        </w:rPr>
        <w:t>考核定级部门在收到经初审合格的煤矿安全生 产标准化管理体系等级申请后，应及时组织对上报的材料进行审 核，审核合格后，对申报煤矿组织进行现场检查或抽查。</w:t>
      </w:r>
    </w:p>
    <w:p w14:paraId="2AB7CA7D">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对自评材料弄虚作假的煤矿，各级煤矿安全生产标准化工作主管部门应取消其申报安全生产标准化管理体系等级的资格，认 定其不达标。煤矿整改完成后需重新自评申报，且</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年内不得申 报二级及以上等级。</w:t>
      </w:r>
    </w:p>
    <w:p w14:paraId="749CD43B">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四</w:t>
      </w:r>
      <w:r>
        <w:rPr>
          <w:rFonts w:hint="eastAsia" w:ascii="楷体" w:hAnsi="楷体" w:eastAsia="楷体" w:cs="楷体"/>
          <w:b w:val="0"/>
          <w:bCs w:val="0"/>
          <w:color w:val="auto"/>
          <w:sz w:val="32"/>
          <w:szCs w:val="32"/>
          <w:highlight w:val="none"/>
          <w:lang w:eastAsia="zh-CN"/>
        </w:rPr>
        <w:t>）公示。</w:t>
      </w:r>
      <w:r>
        <w:rPr>
          <w:rFonts w:hint="eastAsia" w:ascii="仿宋_GB2312" w:hAnsi="仿宋_GB2312" w:eastAsia="仿宋_GB2312" w:cs="仿宋_GB2312"/>
          <w:color w:val="auto"/>
          <w:sz w:val="32"/>
          <w:szCs w:val="32"/>
          <w:highlight w:val="none"/>
        </w:rPr>
        <w:t>对考核合格的申报煤矿，由初审部门监督检查申报煤矿隐患整改合格后，将整改报告报送考核定级部门，考核定级部门在本部门或本级政府的官方网站向社会公示，接受社会监督。公示时间不少于</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个工作日。</w:t>
      </w:r>
    </w:p>
    <w:p w14:paraId="7BB4F53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val="0"/>
          <w:bCs w:val="0"/>
          <w:color w:val="auto"/>
          <w:sz w:val="32"/>
          <w:szCs w:val="32"/>
          <w:highlight w:val="none"/>
          <w:lang w:val="en-US" w:eastAsia="zh-CN"/>
        </w:rPr>
        <w:t xml:space="preserve">    </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五</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公告</w:t>
      </w:r>
      <w:r>
        <w:rPr>
          <w:rFonts w:hint="eastAsia" w:ascii="楷体" w:hAnsi="楷体" w:eastAsia="楷体" w:cs="楷体"/>
          <w:color w:val="auto"/>
          <w:sz w:val="32"/>
          <w:szCs w:val="32"/>
          <w:highlight w:val="none"/>
        </w:rPr>
        <w:t>。</w:t>
      </w:r>
      <w:r>
        <w:rPr>
          <w:rFonts w:hint="eastAsia" w:ascii="仿宋_GB2312" w:hAnsi="仿宋_GB2312" w:eastAsia="仿宋_GB2312" w:cs="仿宋_GB2312"/>
          <w:color w:val="auto"/>
          <w:sz w:val="32"/>
          <w:szCs w:val="32"/>
          <w:highlight w:val="none"/>
        </w:rPr>
        <w:t>对公示无异议的煤矿，考核定级部门确认其等级，并予以公告。</w:t>
      </w:r>
    </w:p>
    <w:p w14:paraId="33C3E93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省应急管理厅在公告定级后</w:t>
      </w:r>
      <w:r>
        <w:rPr>
          <w:rFonts w:hint="default" w:ascii="Times New Roman" w:hAnsi="Times New Roman" w:eastAsia="仿宋_GB2312" w:cs="Times New Roman"/>
          <w:color w:val="auto"/>
          <w:sz w:val="32"/>
          <w:szCs w:val="32"/>
          <w:highlight w:val="none"/>
        </w:rPr>
        <w:t>5</w:t>
      </w:r>
      <w:r>
        <w:rPr>
          <w:rFonts w:hint="eastAsia" w:ascii="仿宋_GB2312" w:hAnsi="仿宋_GB2312" w:eastAsia="仿宋_GB2312" w:cs="仿宋_GB2312"/>
          <w:color w:val="auto"/>
          <w:sz w:val="32"/>
          <w:szCs w:val="32"/>
          <w:highlight w:val="none"/>
        </w:rPr>
        <w:t>个工作日内将被定级煤矿名单经“信息系统”报送国家矿山安全监察局。</w:t>
      </w:r>
    </w:p>
    <w:p w14:paraId="21F6D455">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对考核未达到一级或二级等级要求的申报煤矿，省应急管理厅</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市</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地</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煤矿安全生产标准化工作主管部门可按照考核得分直接定级。</w:t>
      </w:r>
      <w:r>
        <w:rPr>
          <w:rFonts w:hint="eastAsia" w:ascii="仿宋_GB2312" w:hAnsi="仿宋_GB2312" w:eastAsia="仿宋_GB2312" w:cs="仿宋_GB2312"/>
          <w:color w:val="auto"/>
          <w:sz w:val="32"/>
          <w:szCs w:val="32"/>
          <w:highlight w:val="none"/>
          <w:lang w:val="en-US" w:eastAsia="zh-CN"/>
        </w:rPr>
        <w:t xml:space="preserve">  </w:t>
      </w:r>
    </w:p>
    <w:p w14:paraId="719CFAF1">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第七条</w:t>
      </w:r>
      <w:r>
        <w:rPr>
          <w:rFonts w:hint="eastAsia" w:ascii="仿宋_GB2312" w:hAnsi="仿宋_GB2312" w:eastAsia="仿宋_GB2312" w:cs="仿宋_GB2312"/>
          <w:color w:val="auto"/>
          <w:sz w:val="32"/>
          <w:szCs w:val="32"/>
          <w:highlight w:val="none"/>
        </w:rPr>
        <w:t xml:space="preserve">  安全生产标准化管理体系达标煤矿应加强日常检查，每季度至少组织开展</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次全面的自查，煤矿上级企业每半年至少组织开展</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次全面检查（没有上级企业的煤矿自行组织开展）。</w:t>
      </w:r>
    </w:p>
    <w:p w14:paraId="13A479DB">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各级煤矿安全生产标准化主管部门应按照职责分工每半年通报一次本行政区域内煤矿安全生产标准化管理体系考核定级情况，以及等级被降低和撤消的情况。</w:t>
      </w:r>
    </w:p>
    <w:p w14:paraId="4B680D4C">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第八条</w:t>
      </w:r>
      <w:r>
        <w:rPr>
          <w:rFonts w:hint="eastAsia" w:ascii="仿宋_GB2312" w:hAnsi="仿宋_GB2312" w:eastAsia="仿宋_GB2312" w:cs="仿宋_GB2312"/>
          <w:color w:val="auto"/>
          <w:sz w:val="32"/>
          <w:szCs w:val="32"/>
          <w:highlight w:val="none"/>
        </w:rPr>
        <w:t xml:space="preserve">  煤矿取得安全生产标准化管理体系相应等级后，考 核定级部门每</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年进行一次复查复核。由煤矿在</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年期满前</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个 月重新自评申报，</w:t>
      </w:r>
      <w:r>
        <w:rPr>
          <w:rFonts w:hint="eastAsia" w:ascii="仿宋_GB2312" w:hAnsi="仿宋_GB2312" w:eastAsia="仿宋_GB2312" w:cs="仿宋_GB2312"/>
          <w:color w:val="auto"/>
          <w:sz w:val="32"/>
          <w:szCs w:val="32"/>
          <w:highlight w:val="none"/>
          <w:lang w:val="en-US" w:eastAsia="zh-CN"/>
        </w:rPr>
        <w:t>各级煤矿安全生产标准化工作主管部门</w:t>
      </w:r>
      <w:r>
        <w:rPr>
          <w:rFonts w:hint="eastAsia" w:ascii="仿宋_GB2312" w:hAnsi="仿宋_GB2312" w:eastAsia="仿宋_GB2312" w:cs="仿宋_GB2312"/>
          <w:color w:val="auto"/>
          <w:sz w:val="32"/>
          <w:szCs w:val="32"/>
          <w:highlight w:val="none"/>
        </w:rPr>
        <w:t>按第六条规定对其考核定级。</w:t>
      </w:r>
    </w:p>
    <w:p w14:paraId="6EED2E9F">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default"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第九条</w:t>
      </w:r>
      <w:r>
        <w:rPr>
          <w:rFonts w:hint="eastAsia" w:ascii="仿宋_GB2312" w:hAnsi="仿宋_GB2312" w:eastAsia="仿宋_GB2312" w:cs="仿宋_GB2312"/>
          <w:color w:val="auto"/>
          <w:sz w:val="32"/>
          <w:szCs w:val="32"/>
          <w:highlight w:val="none"/>
        </w:rPr>
        <w:t xml:space="preserve">  安全生产标准化管理体系一级煤矿作出符合一级体系要求的承诺，且同时满足下列条件的，可在</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年期满时直接办理延期</w:t>
      </w:r>
      <w:r>
        <w:rPr>
          <w:rFonts w:hint="default" w:ascii="仿宋_GB2312" w:hAnsi="仿宋_GB2312" w:eastAsia="仿宋_GB2312" w:cs="仿宋_GB2312"/>
          <w:color w:val="auto"/>
          <w:sz w:val="32"/>
          <w:szCs w:val="32"/>
          <w:highlight w:val="none"/>
        </w:rPr>
        <w:t>。</w:t>
      </w:r>
    </w:p>
    <w:p w14:paraId="30869E2C">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年期限内，未发生生产安全死亡事故，不存在重大事故隐患且组织生产的情况；</w:t>
      </w:r>
    </w:p>
    <w:p w14:paraId="65D28BA9">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年期限内，井下“零突出”“零透水”“零冲击地压”事故;</w:t>
      </w:r>
    </w:p>
    <w:p w14:paraId="5447B9BF">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.井工煤矿采用“一井一面”或“一井两面”生产模式（冲击地压矿井和开采保护层的煤矿除外）；</w:t>
      </w:r>
    </w:p>
    <w:p w14:paraId="13F34111">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eastAsia" w:ascii="仿宋_GB2312" w:hAnsi="仿宋_GB2312" w:eastAsia="仿宋_GB2312" w:cs="仿宋_GB2312"/>
          <w:color w:val="auto"/>
          <w:sz w:val="32"/>
          <w:szCs w:val="32"/>
          <w:highlight w:val="none"/>
        </w:rPr>
        <w:t>.井工煤矿采煤机械化程度达到</w:t>
      </w:r>
      <w:r>
        <w:rPr>
          <w:rFonts w:hint="default" w:ascii="Times New Roman" w:hAnsi="Times New Roman" w:eastAsia="仿宋_GB2312" w:cs="Times New Roman"/>
          <w:color w:val="auto"/>
          <w:sz w:val="32"/>
          <w:szCs w:val="32"/>
          <w:highlight w:val="none"/>
        </w:rPr>
        <w:t>100%</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露天煤矿采剥机械化程度达到</w:t>
      </w:r>
      <w:r>
        <w:rPr>
          <w:rFonts w:hint="default" w:ascii="Times New Roman" w:hAnsi="Times New Roman" w:eastAsia="仿宋_GB2312" w:cs="Times New Roman"/>
          <w:color w:val="auto"/>
          <w:sz w:val="32"/>
          <w:szCs w:val="32"/>
          <w:highlight w:val="none"/>
        </w:rPr>
        <w:t>100%</w:t>
      </w:r>
      <w:r>
        <w:rPr>
          <w:rFonts w:hint="eastAsia" w:ascii="仿宋_GB2312" w:hAnsi="仿宋_GB2312" w:eastAsia="仿宋_GB2312" w:cs="仿宋_GB2312"/>
          <w:color w:val="auto"/>
          <w:sz w:val="32"/>
          <w:szCs w:val="32"/>
          <w:highlight w:val="none"/>
        </w:rPr>
        <w:t>。</w:t>
      </w:r>
    </w:p>
    <w:p w14:paraId="0B23358C">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办理直接延期的安全生产标准化管理体系一级煤 矿，应在</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年期满前</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个月通过“信息系统”自评申报，由省应急管理厅组织对其审核，并征求国家矿山安全监察局黑龙江局意见，审核符合延期条件后通过“信息系统”报送国家矿山安全监察局。</w:t>
      </w:r>
    </w:p>
    <w:p w14:paraId="0A675A9A">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安全生产标准化管理体系二级、三级煤矿不执行直接延期制度。</w:t>
      </w:r>
    </w:p>
    <w:p w14:paraId="330AF8B6">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安全生产标准化管理体系达标煤矿的监管。</w:t>
      </w:r>
    </w:p>
    <w:p w14:paraId="09BA7AAC">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对取得安全生产标准化管理体系等级的煤矿应加强动态监管。各级煤矿安全生产标准化工作主管部门应按属地监管原则，每年按</w:t>
      </w:r>
      <w:r>
        <w:rPr>
          <w:rFonts w:hint="eastAsia" w:ascii="仿宋_GB2312" w:hAnsi="仿宋_GB2312" w:eastAsia="仿宋_GB2312" w:cs="仿宋_GB2312"/>
          <w:color w:val="auto"/>
          <w:sz w:val="32"/>
          <w:szCs w:val="32"/>
          <w:highlight w:val="none"/>
          <w:lang w:eastAsia="zh-CN"/>
        </w:rPr>
        <w:t>一定</w:t>
      </w:r>
      <w:r>
        <w:rPr>
          <w:rFonts w:hint="eastAsia" w:ascii="仿宋_GB2312" w:hAnsi="仿宋_GB2312" w:eastAsia="仿宋_GB2312" w:cs="仿宋_GB2312"/>
          <w:color w:val="auto"/>
          <w:sz w:val="32"/>
          <w:szCs w:val="32"/>
          <w:highlight w:val="none"/>
        </w:rPr>
        <w:t>比例对达标煤矿进行抽查</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rPr>
        <w:t>对工作中发现已不具备原有标准化管理体系达标水平的煤矿，应降低或撤消其取得的安全生产标准化管理体系等级；对停产超过</w:t>
      </w:r>
      <w:r>
        <w:rPr>
          <w:rFonts w:hint="default" w:ascii="Times New Roman" w:hAnsi="Times New Roman" w:eastAsia="仿宋_GB2312" w:cs="Times New Roman"/>
          <w:color w:val="auto"/>
          <w:sz w:val="32"/>
          <w:szCs w:val="32"/>
          <w:highlight w:val="none"/>
        </w:rPr>
        <w:t>6</w:t>
      </w:r>
      <w:r>
        <w:rPr>
          <w:rFonts w:hint="eastAsia" w:ascii="仿宋_GB2312" w:hAnsi="仿宋_GB2312" w:eastAsia="仿宋_GB2312" w:cs="仿宋_GB2312"/>
          <w:color w:val="auto"/>
          <w:sz w:val="32"/>
          <w:szCs w:val="32"/>
          <w:highlight w:val="none"/>
        </w:rPr>
        <w:t>个月的煤矿，应撤消其原有安全生产标准化管理体系等级，待复产时重新申报、考核定级。</w:t>
      </w:r>
      <w:r>
        <w:rPr>
          <w:rFonts w:hint="eastAsia" w:ascii="仿宋_GB2312" w:hAnsi="仿宋_GB2312" w:eastAsia="仿宋_GB2312" w:cs="仿宋_GB2312"/>
          <w:color w:val="auto"/>
          <w:sz w:val="32"/>
          <w:szCs w:val="32"/>
          <w:highlight w:val="none"/>
          <w:lang w:val="en-US" w:eastAsia="zh-CN"/>
        </w:rPr>
        <w:t>煤矿</w:t>
      </w:r>
      <w:r>
        <w:rPr>
          <w:rFonts w:hint="eastAsia" w:ascii="仿宋_GB2312" w:hAnsi="仿宋_GB2312" w:eastAsia="仿宋_GB2312" w:cs="仿宋_GB2312"/>
          <w:color w:val="auto"/>
          <w:sz w:val="32"/>
          <w:szCs w:val="32"/>
          <w:highlight w:val="none"/>
        </w:rPr>
        <w:t>安全监管监察部门日常检查查处煤矿存在重大事故隐患后，自查处之日上溯</w:t>
      </w:r>
      <w:r>
        <w:rPr>
          <w:rFonts w:hint="default" w:ascii="Times New Roman" w:hAnsi="Times New Roman" w:eastAsia="仿宋_GB2312" w:cs="Times New Roman"/>
          <w:color w:val="auto"/>
          <w:sz w:val="32"/>
          <w:szCs w:val="32"/>
          <w:highlight w:val="none"/>
        </w:rPr>
        <w:t>6</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月，查处重大事故隐患数量超过煤矿自查上报数量的，应降低其安全生产标准化</w:t>
      </w:r>
      <w:r>
        <w:rPr>
          <w:rFonts w:hint="eastAsia" w:ascii="仿宋_GB2312" w:hAnsi="仿宋_GB2312" w:eastAsia="仿宋_GB2312" w:cs="仿宋_GB2312"/>
          <w:color w:val="auto"/>
          <w:sz w:val="32"/>
          <w:szCs w:val="32"/>
          <w:highlight w:val="none"/>
        </w:rPr>
        <w:t>管理体系等级（三级为撤消）。</w:t>
      </w:r>
      <w:r>
        <w:rPr>
          <w:rFonts w:hint="eastAsia" w:ascii="仿宋_GB2312" w:hAnsi="仿宋_GB2312" w:eastAsia="仿宋_GB2312" w:cs="仿宋_GB2312"/>
          <w:color w:val="auto"/>
          <w:sz w:val="32"/>
          <w:szCs w:val="32"/>
          <w:highlight w:val="none"/>
          <w:u w:val="none"/>
          <w:lang w:eastAsia="zh-CN"/>
        </w:rPr>
        <w:t>其中煤矿自查发现的重大</w:t>
      </w:r>
      <w:r>
        <w:rPr>
          <w:rFonts w:hint="eastAsia" w:ascii="仿宋_GB2312" w:hAnsi="仿宋_GB2312" w:eastAsia="仿宋_GB2312" w:cs="仿宋_GB2312"/>
          <w:color w:val="auto"/>
          <w:sz w:val="32"/>
          <w:szCs w:val="32"/>
          <w:highlight w:val="none"/>
          <w:u w:val="none"/>
          <w:lang w:val="en-US" w:eastAsia="zh-CN"/>
        </w:rPr>
        <w:t>事故</w:t>
      </w:r>
      <w:r>
        <w:rPr>
          <w:rFonts w:hint="eastAsia" w:ascii="仿宋_GB2312" w:hAnsi="仿宋_GB2312" w:eastAsia="仿宋_GB2312" w:cs="仿宋_GB2312"/>
          <w:color w:val="auto"/>
          <w:sz w:val="32"/>
          <w:szCs w:val="32"/>
          <w:highlight w:val="none"/>
          <w:u w:val="none"/>
          <w:lang w:eastAsia="zh-CN"/>
        </w:rPr>
        <w:t>隐患</w:t>
      </w:r>
      <w:r>
        <w:rPr>
          <w:rFonts w:hint="eastAsia" w:ascii="仿宋_GB2312" w:hAnsi="仿宋_GB2312" w:eastAsia="仿宋_GB2312" w:cs="仿宋_GB2312"/>
          <w:color w:val="auto"/>
          <w:sz w:val="32"/>
          <w:szCs w:val="32"/>
          <w:highlight w:val="none"/>
          <w:u w:val="none"/>
          <w:lang w:val="en-US" w:eastAsia="zh-CN"/>
        </w:rPr>
        <w:t>数量</w:t>
      </w:r>
      <w:r>
        <w:rPr>
          <w:rFonts w:hint="eastAsia" w:ascii="仿宋_GB2312" w:hAnsi="仿宋_GB2312" w:eastAsia="仿宋_GB2312" w:cs="仿宋_GB2312"/>
          <w:color w:val="auto"/>
          <w:sz w:val="32"/>
          <w:szCs w:val="32"/>
          <w:highlight w:val="none"/>
          <w:u w:val="none"/>
          <w:lang w:eastAsia="zh-CN"/>
        </w:rPr>
        <w:t>以在“信息</w:t>
      </w:r>
      <w:r>
        <w:rPr>
          <w:rFonts w:hint="eastAsia" w:ascii="仿宋_GB2312" w:hAnsi="仿宋_GB2312" w:eastAsia="仿宋_GB2312" w:cs="仿宋_GB2312"/>
          <w:color w:val="auto"/>
          <w:w w:val="95"/>
          <w:sz w:val="32"/>
          <w:szCs w:val="32"/>
          <w:highlight w:val="none"/>
          <w:u w:val="none"/>
          <w:lang w:eastAsia="zh-CN"/>
        </w:rPr>
        <w:t>系统”（</w:t>
      </w:r>
      <w:r>
        <w:rPr>
          <w:rFonts w:hint="default" w:ascii="Times New Roman" w:hAnsi="Times New Roman" w:eastAsia="仿宋_GB2312" w:cs="Times New Roman"/>
          <w:color w:val="auto"/>
          <w:w w:val="100"/>
          <w:sz w:val="32"/>
          <w:szCs w:val="32"/>
          <w:highlight w:val="none"/>
          <w:u w:val="none"/>
          <w:lang w:eastAsia="zh-CN"/>
        </w:rPr>
        <w:t>https://www.chinamine-safety.gov.cn/fw/mkaqjczfxt/</w:t>
      </w:r>
      <w:r>
        <w:rPr>
          <w:rFonts w:hint="eastAsia" w:ascii="仿宋_GB2312" w:hAnsi="仿宋_GB2312" w:eastAsia="仿宋_GB2312" w:cs="仿宋_GB2312"/>
          <w:color w:val="auto"/>
          <w:w w:val="95"/>
          <w:sz w:val="32"/>
          <w:szCs w:val="32"/>
          <w:highlight w:val="none"/>
          <w:u w:val="none"/>
          <w:lang w:eastAsia="zh-CN"/>
        </w:rPr>
        <w:t>）</w:t>
      </w:r>
      <w:r>
        <w:rPr>
          <w:rFonts w:hint="default" w:ascii="仿宋_GB2312" w:hAnsi="仿宋_GB2312" w:eastAsia="仿宋_GB2312" w:cs="仿宋_GB2312"/>
          <w:color w:val="auto"/>
          <w:w w:val="95"/>
          <w:sz w:val="32"/>
          <w:szCs w:val="32"/>
          <w:highlight w:val="none"/>
          <w:u w:val="none"/>
          <w:lang w:eastAsia="zh-CN"/>
        </w:rPr>
        <w:t>填报</w:t>
      </w:r>
      <w:r>
        <w:rPr>
          <w:rFonts w:hint="eastAsia" w:ascii="仿宋_GB2312" w:hAnsi="仿宋_GB2312" w:eastAsia="仿宋_GB2312" w:cs="仿宋_GB2312"/>
          <w:color w:val="auto"/>
          <w:sz w:val="32"/>
          <w:szCs w:val="32"/>
          <w:highlight w:val="none"/>
          <w:u w:val="none"/>
          <w:lang w:eastAsia="zh-CN"/>
        </w:rPr>
        <w:t>和向各级煤矿安全监管部门书面报告</w:t>
      </w:r>
      <w:r>
        <w:rPr>
          <w:rFonts w:hint="default" w:ascii="仿宋_GB2312" w:hAnsi="仿宋_GB2312" w:eastAsia="仿宋_GB2312" w:cs="仿宋_GB2312"/>
          <w:color w:val="auto"/>
          <w:sz w:val="32"/>
          <w:szCs w:val="32"/>
          <w:highlight w:val="none"/>
          <w:u w:val="none"/>
          <w:lang w:eastAsia="zh-CN"/>
        </w:rPr>
        <w:t>为依据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且被认定为符合重大事故隐患判定标准情形</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lang w:val="en-US" w:eastAsia="zh-CN"/>
        </w:rPr>
        <w:t>煤矿</w:t>
      </w:r>
      <w:r>
        <w:rPr>
          <w:rFonts w:hint="eastAsia" w:ascii="仿宋_GB2312" w:hAnsi="仿宋_GB2312" w:eastAsia="仿宋_GB2312" w:cs="仿宋_GB2312"/>
          <w:color w:val="auto"/>
          <w:sz w:val="32"/>
          <w:szCs w:val="32"/>
          <w:highlight w:val="none"/>
        </w:rPr>
        <w:t>安全监管监察部门查处重大事故隐患后，应及时通报煤矿安全生产标准化工作主管部门。</w:t>
      </w:r>
    </w:p>
    <w:p w14:paraId="5286DCA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对发生生产安全死亡事故的煤矿，</w:t>
      </w:r>
      <w:r>
        <w:rPr>
          <w:rFonts w:hint="eastAsia" w:ascii="仿宋_GB2312" w:hAnsi="仿宋_GB2312" w:eastAsia="仿宋_GB2312" w:cs="仿宋_GB2312"/>
          <w:color w:val="auto"/>
          <w:sz w:val="32"/>
          <w:szCs w:val="32"/>
          <w:highlight w:val="none"/>
          <w:lang w:val="en-US" w:eastAsia="zh-CN"/>
        </w:rPr>
        <w:t>各级</w:t>
      </w:r>
      <w:r>
        <w:rPr>
          <w:rFonts w:hint="eastAsia" w:ascii="仿宋_GB2312" w:hAnsi="仿宋_GB2312" w:eastAsia="仿宋_GB2312" w:cs="仿宋_GB2312"/>
          <w:color w:val="auto"/>
          <w:sz w:val="32"/>
          <w:szCs w:val="32"/>
          <w:highlight w:val="none"/>
        </w:rPr>
        <w:t>煤矿安全生产 标准化工作主管部门应自事故发生之日起降低或</w:t>
      </w:r>
      <w:r>
        <w:rPr>
          <w:rFonts w:hint="eastAsia" w:ascii="仿宋_GB2312" w:hAnsi="仿宋_GB2312" w:eastAsia="仿宋_GB2312" w:cs="仿宋_GB2312"/>
          <w:color w:val="auto"/>
          <w:sz w:val="32"/>
          <w:szCs w:val="32"/>
          <w:highlight w:val="none"/>
          <w:lang w:eastAsia="zh-CN"/>
        </w:rPr>
        <w:t>撤消</w:t>
      </w:r>
      <w:r>
        <w:rPr>
          <w:rFonts w:hint="eastAsia" w:ascii="仿宋_GB2312" w:hAnsi="仿宋_GB2312" w:eastAsia="仿宋_GB2312" w:cs="仿宋_GB2312"/>
          <w:color w:val="auto"/>
          <w:sz w:val="32"/>
          <w:szCs w:val="32"/>
          <w:highlight w:val="none"/>
        </w:rPr>
        <w:t>其取得的安全生产标准化管理体系等级。一级、二级煤矿发生一般事故后分别降为二级、三级，发生较大及以上事故</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lang w:eastAsia="zh-CN"/>
        </w:rPr>
        <w:t>撤消</w:t>
      </w:r>
      <w:r>
        <w:rPr>
          <w:rFonts w:hint="eastAsia" w:ascii="仿宋_GB2312" w:hAnsi="仿宋_GB2312" w:eastAsia="仿宋_GB2312" w:cs="仿宋_GB2312"/>
          <w:color w:val="auto"/>
          <w:sz w:val="32"/>
          <w:szCs w:val="32"/>
          <w:highlight w:val="none"/>
        </w:rPr>
        <w:t>其等级；三级煤矿发生一般及以上事故</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lang w:eastAsia="zh-CN"/>
        </w:rPr>
        <w:t>撤消</w:t>
      </w:r>
      <w:r>
        <w:rPr>
          <w:rFonts w:hint="eastAsia" w:ascii="仿宋_GB2312" w:hAnsi="仿宋_GB2312" w:eastAsia="仿宋_GB2312" w:cs="仿宋_GB2312"/>
          <w:color w:val="auto"/>
          <w:sz w:val="32"/>
          <w:szCs w:val="32"/>
          <w:highlight w:val="none"/>
        </w:rPr>
        <w:t>其等级。</w:t>
      </w:r>
    </w:p>
    <w:p w14:paraId="3097F8D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降低或</w:t>
      </w:r>
      <w:r>
        <w:rPr>
          <w:rFonts w:hint="eastAsia" w:ascii="仿宋_GB2312" w:hAnsi="仿宋_GB2312" w:eastAsia="仿宋_GB2312" w:cs="仿宋_GB2312"/>
          <w:color w:val="auto"/>
          <w:sz w:val="32"/>
          <w:szCs w:val="32"/>
          <w:highlight w:val="none"/>
          <w:lang w:eastAsia="zh-CN"/>
        </w:rPr>
        <w:t>撤消</w:t>
      </w:r>
      <w:r>
        <w:rPr>
          <w:rFonts w:hint="eastAsia" w:ascii="仿宋_GB2312" w:hAnsi="仿宋_GB2312" w:eastAsia="仿宋_GB2312" w:cs="仿宋_GB2312"/>
          <w:color w:val="auto"/>
          <w:sz w:val="32"/>
          <w:szCs w:val="32"/>
          <w:highlight w:val="none"/>
        </w:rPr>
        <w:t>煤矿所取得的安全生产标准化管理体系等 级后，由原等级考核定级部门进行公告并更新“信息系统”相关信息。</w:t>
      </w:r>
    </w:p>
    <w:p w14:paraId="5A4DC68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对安全生产标准化管理体系等级被</w:t>
      </w:r>
      <w:r>
        <w:rPr>
          <w:rFonts w:hint="eastAsia" w:ascii="仿宋_GB2312" w:hAnsi="仿宋_GB2312" w:eastAsia="仿宋_GB2312" w:cs="仿宋_GB2312"/>
          <w:color w:val="auto"/>
          <w:sz w:val="32"/>
          <w:szCs w:val="32"/>
          <w:highlight w:val="none"/>
          <w:lang w:eastAsia="zh-CN"/>
        </w:rPr>
        <w:t>撤消</w:t>
      </w:r>
      <w:r>
        <w:rPr>
          <w:rFonts w:hint="eastAsia" w:ascii="仿宋_GB2312" w:hAnsi="仿宋_GB2312" w:eastAsia="仿宋_GB2312" w:cs="仿宋_GB2312"/>
          <w:color w:val="auto"/>
          <w:sz w:val="32"/>
          <w:szCs w:val="32"/>
          <w:highlight w:val="none"/>
        </w:rPr>
        <w:t xml:space="preserve">的煤矿，实施 </w:t>
      </w:r>
      <w:r>
        <w:rPr>
          <w:rFonts w:hint="eastAsia" w:ascii="仿宋_GB2312" w:hAnsi="仿宋_GB2312" w:eastAsia="仿宋_GB2312" w:cs="仿宋_GB2312"/>
          <w:color w:val="auto"/>
          <w:sz w:val="32"/>
          <w:szCs w:val="32"/>
          <w:highlight w:val="none"/>
          <w:lang w:eastAsia="zh-CN"/>
        </w:rPr>
        <w:t>撤消</w:t>
      </w:r>
      <w:r>
        <w:rPr>
          <w:rFonts w:hint="eastAsia" w:ascii="仿宋_GB2312" w:hAnsi="仿宋_GB2312" w:eastAsia="仿宋_GB2312" w:cs="仿宋_GB2312"/>
          <w:color w:val="auto"/>
          <w:sz w:val="32"/>
          <w:szCs w:val="32"/>
          <w:highlight w:val="none"/>
        </w:rPr>
        <w:t>决定的安全生产标准化工作主管部门应依法责令其立即停止生产，进行整改，待整改合格后重新提出申请。</w:t>
      </w:r>
    </w:p>
    <w:p w14:paraId="045BDD5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各级煤矿安全生产标准化工作主管部门每年</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组织对</w:t>
      </w:r>
      <w:r>
        <w:rPr>
          <w:rFonts w:hint="eastAsia" w:ascii="仿宋_GB2312" w:hAnsi="仿宋_GB2312" w:eastAsia="仿宋_GB2312" w:cs="仿宋_GB2312"/>
          <w:color w:val="auto"/>
          <w:sz w:val="32"/>
          <w:szCs w:val="32"/>
          <w:highlight w:val="none"/>
          <w:lang w:eastAsia="zh-CN"/>
        </w:rPr>
        <w:t>本行政区域内</w:t>
      </w:r>
      <w:r>
        <w:rPr>
          <w:rFonts w:hint="eastAsia" w:ascii="仿宋_GB2312" w:hAnsi="仿宋_GB2312" w:eastAsia="仿宋_GB2312" w:cs="仿宋_GB2312"/>
          <w:color w:val="auto"/>
          <w:sz w:val="32"/>
          <w:szCs w:val="32"/>
          <w:highlight w:val="none"/>
        </w:rPr>
        <w:t>直接延期的安全生产标准化管理体系一级煤矿开展重点抽查。对达不到一级等级要求的煤矿，</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降低或</w:t>
      </w:r>
      <w:r>
        <w:rPr>
          <w:rFonts w:hint="eastAsia" w:ascii="仿宋_GB2312" w:hAnsi="仿宋_GB2312" w:eastAsia="仿宋_GB2312" w:cs="仿宋_GB2312"/>
          <w:color w:val="auto"/>
          <w:sz w:val="32"/>
          <w:szCs w:val="32"/>
          <w:highlight w:val="none"/>
          <w:lang w:eastAsia="zh-CN"/>
        </w:rPr>
        <w:t>撤消</w:t>
      </w:r>
      <w:r>
        <w:rPr>
          <w:rFonts w:hint="eastAsia" w:ascii="仿宋_GB2312" w:hAnsi="仿宋_GB2312" w:eastAsia="仿宋_GB2312" w:cs="仿宋_GB2312"/>
          <w:color w:val="auto"/>
          <w:sz w:val="32"/>
          <w:szCs w:val="32"/>
          <w:highlight w:val="none"/>
        </w:rPr>
        <w:t>其安全生产标准化管理体系等级，并将有关情况通过“信息系统”上传。</w:t>
      </w:r>
    </w:p>
    <w:p w14:paraId="4F913D6E">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default"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第十二条</w:t>
      </w:r>
      <w:r>
        <w:rPr>
          <w:rFonts w:hint="eastAsia" w:ascii="仿宋_GB2312" w:hAnsi="仿宋_GB2312" w:eastAsia="仿宋_GB2312" w:cs="仿宋_GB2312"/>
          <w:color w:val="auto"/>
          <w:sz w:val="32"/>
          <w:szCs w:val="32"/>
          <w:highlight w:val="none"/>
        </w:rPr>
        <w:t xml:space="preserve">  安全生产标准化管理体系一级煤矿在有效期内享受以下激励政策</w:t>
      </w:r>
      <w:r>
        <w:rPr>
          <w:rFonts w:hint="default" w:ascii="仿宋_GB2312" w:hAnsi="仿宋_GB2312" w:eastAsia="仿宋_GB2312" w:cs="仿宋_GB2312"/>
          <w:color w:val="auto"/>
          <w:sz w:val="32"/>
          <w:szCs w:val="32"/>
          <w:highlight w:val="none"/>
        </w:rPr>
        <w:t>。</w:t>
      </w:r>
    </w:p>
    <w:p w14:paraId="6C5EAE69">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（一）在全国性或区域性调整、实施减量化生产措施时，原则上不纳入减量化生产煤矿范围；</w:t>
      </w:r>
    </w:p>
    <w:p w14:paraId="3E963126">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（二）在地方政府因其他煤矿发生事故</w:t>
      </w:r>
      <w:r>
        <w:rPr>
          <w:rFonts w:hint="eastAsia" w:ascii="仿宋_GB2312" w:hAnsi="仿宋_GB2312" w:eastAsia="仿宋_GB2312" w:cs="仿宋_GB2312"/>
          <w:color w:val="auto"/>
          <w:sz w:val="32"/>
          <w:szCs w:val="32"/>
          <w:highlight w:val="none"/>
          <w:lang w:val="en-US" w:eastAsia="zh-CN"/>
        </w:rPr>
        <w:t>采取</w:t>
      </w:r>
      <w:r>
        <w:rPr>
          <w:rFonts w:hint="eastAsia" w:ascii="仿宋_GB2312" w:hAnsi="仿宋_GB2312" w:eastAsia="仿宋_GB2312" w:cs="仿宋_GB2312"/>
          <w:color w:val="auto"/>
          <w:sz w:val="32"/>
          <w:szCs w:val="32"/>
          <w:highlight w:val="none"/>
        </w:rPr>
        <w:t>区域政策性停产措施时，原则上不纳入停产范围；</w:t>
      </w:r>
    </w:p>
    <w:p w14:paraId="3A1EA2D8">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（三）申请生产能力核增时，在同等条件下，可优先开展审查确认工作；新投产的煤矿和已核定生产能力的煤矿，通过生产能力核定提高产能规模的间隔时间，可按规定缩短；</w:t>
      </w:r>
    </w:p>
    <w:p w14:paraId="321EACAB">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（四）生产能力核增时，产能置换比例不小于核增产能的</w:t>
      </w:r>
      <w:r>
        <w:rPr>
          <w:rFonts w:hint="default" w:ascii="Times New Roman" w:hAnsi="Times New Roman" w:eastAsia="仿宋_GB2312" w:cs="Times New Roman"/>
          <w:color w:val="auto"/>
          <w:sz w:val="32"/>
          <w:szCs w:val="32"/>
          <w:highlight w:val="none"/>
        </w:rPr>
        <w:t>100%</w:t>
      </w:r>
      <w:r>
        <w:rPr>
          <w:rFonts w:hint="eastAsia" w:ascii="仿宋_GB2312" w:hAnsi="仿宋_GB2312" w:eastAsia="仿宋_GB2312" w:cs="仿宋_GB2312"/>
          <w:color w:val="auto"/>
          <w:sz w:val="32"/>
          <w:szCs w:val="32"/>
          <w:highlight w:val="none"/>
        </w:rPr>
        <w:t>，通过改扩建、技术改造增加优质产能超过</w:t>
      </w:r>
      <w:r>
        <w:rPr>
          <w:rFonts w:hint="default" w:ascii="Times New Roman" w:hAnsi="Times New Roman" w:eastAsia="仿宋_GB2312" w:cs="Times New Roman"/>
          <w:color w:val="auto"/>
          <w:sz w:val="32"/>
          <w:szCs w:val="32"/>
          <w:highlight w:val="none"/>
        </w:rPr>
        <w:t>120</w:t>
      </w:r>
      <w:r>
        <w:rPr>
          <w:rFonts w:hint="eastAsia" w:ascii="仿宋_GB2312" w:hAnsi="仿宋_GB2312" w:eastAsia="仿宋_GB2312" w:cs="仿宋_GB2312"/>
          <w:color w:val="auto"/>
          <w:sz w:val="32"/>
          <w:szCs w:val="32"/>
          <w:highlight w:val="none"/>
        </w:rPr>
        <w:t>万吨/年以上的，所需产能置换指标折算比例可提高为</w:t>
      </w:r>
      <w:r>
        <w:rPr>
          <w:rFonts w:hint="default" w:ascii="Times New Roman" w:hAnsi="Times New Roman" w:eastAsia="仿宋_GB2312" w:cs="Times New Roman"/>
          <w:color w:val="auto"/>
          <w:sz w:val="32"/>
          <w:szCs w:val="32"/>
          <w:highlight w:val="none"/>
        </w:rPr>
        <w:t>200%</w:t>
      </w:r>
      <w:r>
        <w:rPr>
          <w:rFonts w:hint="eastAsia" w:ascii="仿宋_GB2312" w:hAnsi="仿宋_GB2312" w:eastAsia="仿宋_GB2312" w:cs="仿宋_GB2312"/>
          <w:color w:val="auto"/>
          <w:sz w:val="32"/>
          <w:szCs w:val="32"/>
          <w:highlight w:val="none"/>
        </w:rPr>
        <w:t>；</w:t>
      </w:r>
    </w:p>
    <w:p w14:paraId="7C5BA281">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（五）生产能力核增时，核增幅度可在“不超过煤炭工业设计规范标准设计井型规模</w:t>
      </w: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级级差”规定的基础上，上浮</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级级差；实现“一井一面”或智能化开采的，核增幅度可上浮</w:t>
      </w: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级级差；</w:t>
      </w:r>
    </w:p>
    <w:p w14:paraId="6EF36367">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（六）在安全生产许可证有效期届满时，符合相关条件的，可以直接办理延期手续；</w:t>
      </w:r>
    </w:p>
    <w:p w14:paraId="1182FFB4">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（七）银行保险、证券、担保等主管部门作为对煤矿企业信用评级重要参考依据；</w:t>
      </w:r>
    </w:p>
    <w:p w14:paraId="55D681C4">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（八）各级煤矿安全监管监察部门适当减少检查频次；煤矿停产后复产验收时，优先进行复产验收。</w:t>
      </w:r>
    </w:p>
    <w:p w14:paraId="15A8F811">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第十三条</w:t>
      </w: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本《实施细则》由省应急管理厅负责解释，自下发之日起执行，</w:t>
      </w:r>
      <w:r>
        <w:rPr>
          <w:rFonts w:hint="default" w:ascii="Times New Roman" w:hAnsi="Times New Roman" w:eastAsia="仿宋_GB2312" w:cs="Times New Roman"/>
          <w:color w:val="auto"/>
          <w:sz w:val="32"/>
          <w:szCs w:val="32"/>
          <w:highlight w:val="none"/>
        </w:rPr>
        <w:t>2020</w:t>
      </w:r>
      <w:r>
        <w:rPr>
          <w:rFonts w:hint="eastAsia" w:ascii="仿宋_GB2312" w:hAnsi="仿宋_GB2312" w:eastAsia="仿宋_GB2312" w:cs="仿宋_GB2312"/>
          <w:color w:val="auto"/>
          <w:sz w:val="32"/>
          <w:szCs w:val="32"/>
          <w:highlight w:val="none"/>
        </w:rPr>
        <w:t>年颁布的《黑龙江省煤矿安全生产标准化考核定级实施细则</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试行</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黑煤安监规〔</w:t>
      </w:r>
      <w:r>
        <w:rPr>
          <w:rFonts w:hint="default" w:ascii="Times New Roman" w:hAnsi="Times New Roman" w:eastAsia="仿宋_GB2312" w:cs="Times New Roman"/>
          <w:color w:val="auto"/>
          <w:sz w:val="32"/>
          <w:szCs w:val="32"/>
          <w:highlight w:val="none"/>
        </w:rPr>
        <w:t>2020</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号</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同时废止。</w:t>
      </w:r>
    </w:p>
    <w:p w14:paraId="7FA84FDB">
      <w:pPr>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color w:val="auto"/>
          <w:sz w:val="32"/>
          <w:szCs w:val="32"/>
          <w:highlight w:val="none"/>
        </w:rPr>
      </w:pPr>
    </w:p>
    <w:bookmarkEnd w:id="0"/>
    <w:p w14:paraId="18F3261A">
      <w:pPr>
        <w:spacing w:line="500" w:lineRule="exact"/>
        <w:ind w:right="45"/>
        <w:rPr>
          <w:rFonts w:hint="eastAsia" w:ascii="Times New Roman" w:hAnsi="Times New Roman"/>
          <w:snapToGrid w:val="0"/>
          <w:kern w:val="0"/>
          <w:sz w:val="28"/>
          <w:szCs w:val="28"/>
        </w:rPr>
      </w:pPr>
      <w:bookmarkStart w:id="1" w:name="_GoBack"/>
      <w:bookmarkEnd w:id="1"/>
    </w:p>
    <w:sectPr>
      <w:footerReference r:id="rId3" w:type="default"/>
      <w:pgSz w:w="11906" w:h="16838"/>
      <w:pgMar w:top="2098" w:right="1474" w:bottom="1984" w:left="1587" w:header="851" w:footer="1247" w:gutter="0"/>
      <w:cols w:space="720" w:num="1"/>
      <w:docGrid w:type="linesAndChars" w:linePitch="579"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04F5A">
    <w:pPr>
      <w:pStyle w:val="3"/>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1828800" cy="1828800"/>
              <wp:effectExtent l="0" t="0" r="0" b="0"/>
              <wp:wrapNone/>
              <wp:docPr id="1"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75AEE2">
                          <w:pPr>
                            <w:pStyle w:val="3"/>
                            <w:ind w:right="320" w:rightChars="100" w:firstLine="280" w:firstLineChars="100"/>
                            <w:rPr>
                              <w:rFonts w:hint="eastAsia"/>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p>
                        <w:p w14:paraId="022E8A18">
                          <w:pPr>
                            <w:pStyle w:val="3"/>
                            <w:rPr>
                              <w:rFonts w:hint="eastAsia"/>
                            </w:rPr>
                          </w:pPr>
                        </w:p>
                      </w:txbxContent>
                    </wps:txbx>
                    <wps:bodyPr wrap="none" lIns="0" tIns="0" rIns="0" bIns="0" upright="1">
                      <a:spAutoFit/>
                    </wps:bodyPr>
                  </wps:wsp>
                </a:graphicData>
              </a:graphic>
            </wp:anchor>
          </w:drawing>
        </mc:Choice>
        <mc:Fallback>
          <w:pict>
            <v:shape id="文本框 65" o:spid="_x0000_s1026" o:spt="202" type="#_x0000_t202" style="position:absolute;left:0pt;margin-top:-0.75pt;height:144pt;width:144pt;mso-position-horizontal:right;mso-position-horizontal-relative:margin;mso-wrap-style:none;z-index:251659264;mso-width-relative:page;mso-height-relative:page;" filled="f" stroked="f" coordsize="21600,21600" o:gfxdata="UEsDBAoAAAAAAIdO4kAAAAAAAAAAAAAAAAAEAAAAZHJzL1BLAwQUAAAACACHTuJAwCuycdcAAAAH&#10;AQAADwAAAGRycy9kb3ducmV2LnhtbE2PQU/DMAyF70j8h8hIXKYt6cSmrjSdBNJuILGBxDVrvLaj&#10;caok6wa/Hu8ENz8/673P5friejFiiJ0nDdlMgUCqve2o0fDxvpnmIGIyZE3vCTV8Y4R1dXtTmsL6&#10;M21x3KVGcAjFwmhoUxoKKWPdojNx5gck9g4+OJNYhkbaYM4c7no5V2opnemIG1oz4HOL9dfu5DR8&#10;vvwgbvOnyWR8OB6D2qzeavmq9f1dph5BJLykv2O44jM6VMy09yeyUfQa+JGkYZotQLA7z3Ne7K/D&#10;cgGyKuV//uoXUEsDBBQAAAAIAIdO4kBIuVZJ0gEAAKQDAAAOAAAAZHJzL2Uyb0RvYy54bWytU02O&#10;0zAU3iNxB8t7mrRShyhqOppRNQgJAdLAAVzHbiz5T35uk14AbsCKDXvO1XPw7CQdNGxmwcZ5f/7e&#10;+z6/bG4Ho8lJBFDONnS5KCkRlrtW2UNDv355eFNRApHZlmlnRUPPAujt9vWrTe9rsXKd060IBEEs&#10;1L1vaBejr4sCeCcMg4XzwmJSumBYRDccijawHtGNLlZleVP0LrQ+OC4AMLobk3RCDC8BdFIqLnaO&#10;H42wcUQNQrOIlKBTHug2Tyul4PGTlCAi0Q1FpjGf2ATtfTqL7YbVh8B8p/g0AnvJCM84GaYsNr1C&#10;7Vhk5BjUP1BG8eDAybjgzhQjkawIsliWz7R57JgXmQtKDf4qOvw/WP7x9DkQ1eImUGKZwQe//Ph+&#10;+fn78usbuVknfXoPNZY9eiyMw70bUu0UBwwm2oMMJn2REME8qnu+qiuGSHi6VK2qqsQUx9zsIE7x&#10;dN0HiO+EMyQZDQ34fFlVdvoAcSydS1I36x6U1hhntbakR9R19Xadb1xTiK4tNkksxmmTFYf9MFHY&#10;u/aMzHrcgYZaXHlK9HuLEqd1mY0wG/vZOPqgDh0Oucz9wN8dI46Tp0wdRtipMT5e5jktWtqOv/1c&#10;9fRz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CuycdcAAAAHAQAADwAAAAAAAAABACAAAAAi&#10;AAAAZHJzL2Rvd25yZXYueG1sUEsBAhQAFAAAAAgAh07iQEi5VknSAQAApAMAAA4AAAAAAAAAAQAg&#10;AAAAJgEAAGRycy9lMm9Eb2MueG1sUEsFBgAAAAAGAAYAWQEAAGoFAAAAAA==&#10;">
              <v:fill on="f" focussize="0,0"/>
              <v:stroke on="f" weight="1.25pt"/>
              <v:imagedata o:title=""/>
              <o:lock v:ext="edit" aspectratio="f"/>
              <v:textbox inset="0mm,0mm,0mm,0mm" style="mso-fit-shape-to-text:t;">
                <w:txbxContent>
                  <w:p w14:paraId="7075AEE2">
                    <w:pPr>
                      <w:pStyle w:val="3"/>
                      <w:ind w:right="320" w:rightChars="100" w:firstLine="280" w:firstLineChars="100"/>
                      <w:rPr>
                        <w:rFonts w:hint="eastAsia"/>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p>
                  <w:p w14:paraId="022E8A18">
                    <w:pPr>
                      <w:pStyle w:val="3"/>
                      <w:rPr>
                        <w:rFonts w:hint="eastAsia"/>
                      </w:rPr>
                    </w:pPr>
                  </w:p>
                </w:txbxContent>
              </v:textbox>
            </v:shape>
          </w:pict>
        </mc:Fallback>
      </mc:AlternateContent>
    </w:r>
    <w:r>
      <w:rPr>
        <w:rFonts w:hint="eastAsia"/>
        <w:sz w:val="28"/>
        <w:szCs w:val="28"/>
      </w:rPr>
      <w:t xml:space="preserve"> </w:t>
    </w:r>
  </w:p>
  <w:p w14:paraId="58912623">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18A63470"/>
    <w:rsid w:val="004E1CD5"/>
    <w:rsid w:val="00915A64"/>
    <w:rsid w:val="00A241EE"/>
    <w:rsid w:val="045A5673"/>
    <w:rsid w:val="06F04EAE"/>
    <w:rsid w:val="0801067C"/>
    <w:rsid w:val="0AB276F4"/>
    <w:rsid w:val="0AD136E7"/>
    <w:rsid w:val="0AF81AD8"/>
    <w:rsid w:val="0B690A2C"/>
    <w:rsid w:val="0BD77843"/>
    <w:rsid w:val="0D2A3CC1"/>
    <w:rsid w:val="10797605"/>
    <w:rsid w:val="123F2F22"/>
    <w:rsid w:val="125C77AB"/>
    <w:rsid w:val="13A04809"/>
    <w:rsid w:val="13BB5697"/>
    <w:rsid w:val="142B3EE1"/>
    <w:rsid w:val="168C2DF5"/>
    <w:rsid w:val="170209ED"/>
    <w:rsid w:val="18A63470"/>
    <w:rsid w:val="19FB6F0E"/>
    <w:rsid w:val="1EE5BA3E"/>
    <w:rsid w:val="1F2667DB"/>
    <w:rsid w:val="1F872FB6"/>
    <w:rsid w:val="1FCD949F"/>
    <w:rsid w:val="213D605E"/>
    <w:rsid w:val="21DE6FBE"/>
    <w:rsid w:val="23FF67D2"/>
    <w:rsid w:val="25285877"/>
    <w:rsid w:val="25BE7EBB"/>
    <w:rsid w:val="270B5BBD"/>
    <w:rsid w:val="28F026EB"/>
    <w:rsid w:val="29BC173D"/>
    <w:rsid w:val="2A8F5DFA"/>
    <w:rsid w:val="2B813B2C"/>
    <w:rsid w:val="2F61116A"/>
    <w:rsid w:val="31150724"/>
    <w:rsid w:val="33F25428"/>
    <w:rsid w:val="35FFFF29"/>
    <w:rsid w:val="36B51DFB"/>
    <w:rsid w:val="38101A59"/>
    <w:rsid w:val="3A0B2568"/>
    <w:rsid w:val="3AAF7A93"/>
    <w:rsid w:val="3B841A16"/>
    <w:rsid w:val="3FE95A49"/>
    <w:rsid w:val="40817D8B"/>
    <w:rsid w:val="40B37803"/>
    <w:rsid w:val="41F0C157"/>
    <w:rsid w:val="43D0481B"/>
    <w:rsid w:val="457D0750"/>
    <w:rsid w:val="45CF3F40"/>
    <w:rsid w:val="46D72011"/>
    <w:rsid w:val="48F35CE6"/>
    <w:rsid w:val="4A9C3129"/>
    <w:rsid w:val="4F733EFF"/>
    <w:rsid w:val="4F9E19EA"/>
    <w:rsid w:val="51A02BA7"/>
    <w:rsid w:val="552B1DC3"/>
    <w:rsid w:val="55A91AA6"/>
    <w:rsid w:val="5BEF03FF"/>
    <w:rsid w:val="5E333BD6"/>
    <w:rsid w:val="5E812182"/>
    <w:rsid w:val="5EEF81F7"/>
    <w:rsid w:val="5FBFD775"/>
    <w:rsid w:val="5FF47D2D"/>
    <w:rsid w:val="5FF71D54"/>
    <w:rsid w:val="601A178F"/>
    <w:rsid w:val="606B2FA7"/>
    <w:rsid w:val="60C61449"/>
    <w:rsid w:val="64E5594E"/>
    <w:rsid w:val="67C0105E"/>
    <w:rsid w:val="682B515C"/>
    <w:rsid w:val="693C37DD"/>
    <w:rsid w:val="72495CA2"/>
    <w:rsid w:val="73290073"/>
    <w:rsid w:val="732E7136"/>
    <w:rsid w:val="75AC0CF3"/>
    <w:rsid w:val="76B10119"/>
    <w:rsid w:val="76FB0204"/>
    <w:rsid w:val="777FE165"/>
    <w:rsid w:val="79944772"/>
    <w:rsid w:val="79FF148A"/>
    <w:rsid w:val="7A0407E2"/>
    <w:rsid w:val="7F573957"/>
    <w:rsid w:val="7FB73D4B"/>
    <w:rsid w:val="7FCEBA69"/>
    <w:rsid w:val="7FDFAF36"/>
    <w:rsid w:val="7FFF9CFF"/>
    <w:rsid w:val="8FEF34F5"/>
    <w:rsid w:val="AEBD48E0"/>
    <w:rsid w:val="BFFD6182"/>
    <w:rsid w:val="BFFD6D79"/>
    <w:rsid w:val="BFFF7BAE"/>
    <w:rsid w:val="EB5E4528"/>
    <w:rsid w:val="EF67544D"/>
    <w:rsid w:val="F3F7F6FB"/>
    <w:rsid w:val="F7DDA5A2"/>
    <w:rsid w:val="F9DB3286"/>
    <w:rsid w:val="FB9F1A94"/>
    <w:rsid w:val="FD383456"/>
    <w:rsid w:val="FDD3EDD4"/>
    <w:rsid w:val="FEF59051"/>
    <w:rsid w:val="FEFDCC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pPr>
    <w:rPr>
      <w:rFonts w:ascii="Times New Roman" w:hAnsi="Times New Roman" w:eastAsia="宋体"/>
      <w:sz w:val="21"/>
      <w:szCs w:val="24"/>
    </w:rPr>
  </w:style>
  <w:style w:type="paragraph" w:styleId="3">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qFormat/>
    <w:uiPriority w:val="1"/>
    <w:pPr>
      <w:spacing w:before="126"/>
      <w:ind w:left="1615" w:right="277" w:hanging="1080"/>
    </w:pPr>
    <w:rPr>
      <w:rFonts w:ascii="微软雅黑" w:hAnsi="微软雅黑" w:eastAsia="微软雅黑" w:cs="微软雅黑"/>
      <w:sz w:val="43"/>
      <w:szCs w:val="43"/>
      <w:lang w:val="en-US" w:eastAsia="zh-CN" w:bidi="ar-SA"/>
    </w:rPr>
  </w:style>
  <w:style w:type="character" w:styleId="8">
    <w:name w:val="Hyperlink"/>
    <w:basedOn w:val="7"/>
    <w:qFormat/>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3995</Words>
  <Characters>4110</Characters>
  <Lines>1</Lines>
  <Paragraphs>1</Paragraphs>
  <TotalTime>21</TotalTime>
  <ScaleCrop>false</ScaleCrop>
  <LinksUpToDate>false</LinksUpToDate>
  <CharactersWithSpaces>4232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2024-12-24T15:43:00Z</dcterms:created>
  <dc:creator>zzc</dc:creator>
  <cp:lastModifiedBy>熊叫freya</cp:lastModifiedBy>
  <dcterms:modified xsi:type="dcterms:W3CDTF">2025-05-07T03:03:37Z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66409B192A2148C0AEAE9518EC7B8529_13</vt:lpwstr>
  </property>
  <property fmtid="{D5CDD505-2E9C-101B-9397-08002B2CF9AE}" pid="4" name="KSOTemplateDocerSaveRecord">
    <vt:lpwstr>eyJoZGlkIjoiMzg4MzY4MzQ2MzA4Y2RiOWRmYzIyODRkNjAxNzc0MzEiLCJ1c2VySWQiOiI0OTgwNTY1MDAifQ==</vt:lpwstr>
  </property>
</Properties>
</file>