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B4C7">
      <w:pPr>
        <w:ind w:firstLine="883"/>
        <w:jc w:val="center"/>
        <w:rPr>
          <w:rFonts w:ascii="仿宋" w:hAnsi="仿宋" w:eastAsia="仿宋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拟审批意见</w:t>
      </w:r>
    </w:p>
    <w:tbl>
      <w:tblPr>
        <w:tblStyle w:val="14"/>
        <w:tblW w:w="9555" w:type="dxa"/>
        <w:tblCellSpacing w:w="15" w:type="dxa"/>
        <w:tblInd w:w="-4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8277"/>
      </w:tblGrid>
      <w:tr w14:paraId="7880A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tblCellSpacing w:w="15" w:type="dxa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14CC64B4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3295186D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24D6ABCF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鹤岗市金沃矿业有限公司（原鹤岗市德成煤矿）</w:t>
            </w:r>
          </w:p>
          <w:p w14:paraId="267E91E0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资源整合项目</w:t>
            </w:r>
          </w:p>
        </w:tc>
      </w:tr>
      <w:tr w14:paraId="393EE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4C04997F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0AE2BFA5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504F36B2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黑龙江鹤岗市兴山区北大岭</w:t>
            </w:r>
          </w:p>
        </w:tc>
      </w:tr>
      <w:tr w14:paraId="2B781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5A7AEF99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 w14:paraId="72DFE127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017FD87E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鹤岗市金沃矿业有限公司</w:t>
            </w:r>
          </w:p>
        </w:tc>
      </w:tr>
      <w:tr w14:paraId="0FAD6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065F15E8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环境影响评价单位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4A18D61A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黑龙江能顺环保科技有限公司</w:t>
            </w:r>
          </w:p>
        </w:tc>
      </w:tr>
      <w:tr w14:paraId="6B3F1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2946F207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E1F3057">
            <w:pPr>
              <w:pStyle w:val="12"/>
              <w:snapToGrid w:val="0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08666025">
            <w:pPr>
              <w:snapToGrid w:val="0"/>
              <w:spacing w:line="360" w:lineRule="auto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项目建设性质为改扩建，位于黑龙江省鹤岗市兴山区北大岭，设计规模30万t/a，井田面积1.0336km</w:t>
            </w:r>
            <w:r>
              <w:rPr>
                <w:rFonts w:eastAsia="仿宋"/>
                <w:sz w:val="28"/>
                <w:szCs w:val="28"/>
                <w:vertAlign w:val="superscript"/>
              </w:rPr>
              <w:t>2</w:t>
            </w:r>
            <w:r>
              <w:rPr>
                <w:rFonts w:eastAsia="仿宋"/>
                <w:sz w:val="28"/>
                <w:szCs w:val="28"/>
              </w:rPr>
              <w:t>。共布置4处地面工业场地和1处雷管库和火药库，即整合主井德成工业场地作为主、副井工业场地，位于DC-2地块，简称“DC-2工业场地”；被整合金元煤矿工业场地作为采区副井、采区专用回风井工业场地及办公区工业场地，位于DC-3地块和DC-4地块，分别简称“DC-3工业场地”和“DC-4工业场地”；被整合恒达煤矿工业场地作为一采区专用回风工业场地，位于DC-1地块，简称“DC-1工业场地”。4处工业场地共布置5条井筒，分别为一采区内主斜井和副斜井、一采区专用回风斜井、二采区内副斜井和二采区专用回风斜井，初期全部移交。开拓方式采取斜井单水平分区式开拓，长壁采煤法，顶板管理为全部垮落法。</w:t>
            </w:r>
          </w:p>
          <w:p w14:paraId="74E4979A">
            <w:pPr>
              <w:pStyle w:val="22"/>
              <w:snapToGrid w:val="0"/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总投资</w:t>
            </w:r>
            <w:r>
              <w:rPr>
                <w:rFonts w:eastAsia="仿宋"/>
                <w:snapToGrid w:val="0"/>
                <w:sz w:val="28"/>
                <w:szCs w:val="28"/>
              </w:rPr>
              <w:t>10418.21万元</w:t>
            </w:r>
            <w:r>
              <w:rPr>
                <w:rFonts w:eastAsia="仿宋"/>
                <w:sz w:val="28"/>
                <w:szCs w:val="28"/>
              </w:rPr>
              <w:t>，其中环保投资836万元。</w:t>
            </w:r>
          </w:p>
        </w:tc>
      </w:tr>
      <w:tr w14:paraId="090BE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3B8E3A54">
            <w:pPr>
              <w:pStyle w:val="12"/>
              <w:snapToGrid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主要环境影响及预防或者减轻不良影响的对策和措施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622C8411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一、施工期</w:t>
            </w:r>
          </w:p>
          <w:p w14:paraId="1069C6CD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项目施工期加强施工扬尘监管，强化施工扬尘监管，严格落实“洒水、覆盖、硬化、冲洗、绿化、围挡”六个100%措施。严禁污水乱排污染环境。施工期设置临时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沉淀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池，施工废水集中收集后经沉淀池沉淀，回用于洒水降尘；井下排水通过地面临时沉淀池处理后用于施工或场地降尘洒水；工作人员生活污水排入防渗旱厕，定期清掏外运堆肥。选用噪声较低的环保型设备；加强施工现场管理，施工前在施工场地周围设置临时围挡；合理布置施工机械布置；合理安排施工作业时间；重型运输车在居住区内行驶时禁止鸣笛，并限速行驶，严禁在22:00~6:00时间段内施工及运输。建筑垃圾（废弃的碎砖、石块、砼块等）全部作为地基的填筑料；其它如建材包装纸、纸箱可回收利用的废弃物全部送往废品站进行回收利用。施工人员生活垃圾集中收集，定期交由当地环卫部门进行统一处置。建设期间矸石随时用于公路及工业场地填筑。</w:t>
            </w:r>
          </w:p>
          <w:p w14:paraId="5ADCC558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一、运营期</w:t>
            </w:r>
          </w:p>
          <w:p w14:paraId="1F5A2E72">
            <w:pPr>
              <w:autoSpaceDN w:val="0"/>
              <w:adjustRightInd w:val="0"/>
              <w:snapToGrid w:val="0"/>
              <w:spacing w:line="360" w:lineRule="auto"/>
              <w:ind w:firstLine="420" w:firstLineChars="15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（一）大气污染防治措施</w:t>
            </w:r>
          </w:p>
          <w:p w14:paraId="25B615D7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热水锅炉烟气通过布袋除尘器处理后经1根30m高烟囱排放，烟气中污染物浓度均满足《锅炉大气污染物排放标标准》（GB13271-2014）表2标准限值要求；热风炉烟气通过布袋除尘器处理后经1根30m高烟囱排放，烟气中污染物浓度均满足《工业炉窑大气污染物排放标准》（GB9078-1996）要求。</w:t>
            </w:r>
          </w:p>
          <w:p w14:paraId="5B847B1A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煤库内筛分工序粉尘收集后经布袋除尘器除尘，处理后由20m高排气筒排放，有组织颗粒物排放浓度满足《煤炭工业污染物排放标准》（GB20426-2006）中表4要求；车间密闭，洒水降尘，无组织颗粒物浓度能够满足《煤炭工业污染物排放标准》（GB20426-2006）表5限值要求。</w:t>
            </w:r>
          </w:p>
          <w:p w14:paraId="0A383DDB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储煤库全封闭储煤，煤炭场内输送采用全封闭式输送栈桥，无组织颗粒物浓度能够满足《煤炭工业污染物排放标准》（GB20426-2006）表5 限值要求。</w:t>
            </w:r>
          </w:p>
          <w:p w14:paraId="44D824D7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场地内配备洒水车，运输道路地面硬化，定期洒水降尘，适时对固定的运煤公路予以清扫洒水，加强管理，采用封闭车厢或加盖篷布的汽车作为运煤车辆，同时在车辆出煤矿时冲洗轮胎，并避免在大风天气运输原煤，运输扬尘可以满足《煤炭工业污染物排放标准》（GB20426-2006）中表5限值要求。</w:t>
            </w:r>
          </w:p>
          <w:p w14:paraId="4F06693C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本矿井为低瓦斯矿井，采矿时加强矿井通风，并实时监测，井下作业时加强井下喷雾及其他综合防尘措施，瓦斯抽排排放浓度满足《煤层气（煤矿瓦斯）排放标准》（GB21522-2024）的要求。</w:t>
            </w:r>
          </w:p>
          <w:p w14:paraId="03238D67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食堂油烟经油烟净化器净化后经专用烟道由屋顶排放，油烟浓度满足《饮食业油烟排放标准（试行）》（GB18483-2001）中型排放标准限值要求。</w:t>
            </w:r>
          </w:p>
          <w:p w14:paraId="635A1795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生活污水设施运行过程中为密闭运行，定期喷洒除臭剂，对污水处理站产生的污泥及时清理，加强污水处理站周边卫生，恶臭污染物均满足《恶臭污染物排放标准》（GB14554-93）表 1中的标准限值要求。</w:t>
            </w:r>
          </w:p>
          <w:p w14:paraId="05FCB3EF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油脂库和危险废物贮存点内油类物质储存于封闭油桶内，库房密闭，厂房外1h平均浓度值应满足《挥发性有机物无组织排放控制标准》（GB37822-2019）10mg/m</w:t>
            </w:r>
            <w:r>
              <w:rPr>
                <w:rFonts w:eastAsia="仿宋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限值要求，厂房外任意一次浓度值满足《挥发性有机物无组织排放控制标准》（GB37822-2019）30mg/m</w:t>
            </w:r>
            <w:r>
              <w:rPr>
                <w:rFonts w:eastAsia="仿宋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限值要求。</w:t>
            </w:r>
          </w:p>
          <w:p w14:paraId="339B17AF">
            <w:pPr>
              <w:pStyle w:val="16"/>
              <w:snapToGrid w:val="0"/>
              <w:spacing w:line="360" w:lineRule="auto"/>
              <w:ind w:firstLine="560" w:firstLineChars="200"/>
              <w:rPr>
                <w:rFonts w:hint="default" w:asci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坑木加工房全封闭设置，加工完成后及时清理场地，无组织颗粒物浓度满足《煤炭工业污染物排放标准》（GB20426-2006）中表5标准限值要求。</w:t>
            </w:r>
          </w:p>
          <w:p w14:paraId="1E11ED50">
            <w:pPr>
              <w:pStyle w:val="16"/>
              <w:snapToGrid w:val="0"/>
              <w:spacing w:line="360" w:lineRule="auto"/>
              <w:ind w:firstLine="560" w:firstLineChars="200"/>
              <w:rPr>
                <w:rFonts w:hint="default" w:asci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灌浆站内物料输送和搅拌过程均封闭，且与水搅拌；矸石充填站位于井下，采取洒水抑尘措施，无组织颗粒物排放可以满足《煤炭工业污染物排放标准》（GB20426-2006）中表5标准限值要求。</w:t>
            </w:r>
          </w:p>
          <w:p w14:paraId="6A9292DE">
            <w:pPr>
              <w:autoSpaceDN w:val="0"/>
              <w:adjustRightInd w:val="0"/>
              <w:snapToGrid w:val="0"/>
              <w:spacing w:line="360" w:lineRule="auto"/>
              <w:ind w:firstLine="420" w:firstLineChars="15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（二）水污染防治措施</w:t>
            </w:r>
          </w:p>
          <w:p w14:paraId="463D73B6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矿井水采用“混凝沉淀+过滤+消毒”工艺处理后，水质应满足《煤矿井下消防洒水设计规范》（GB50383-2016）附录B要求，同时增加氟化物＜1.5mg/L、总α放射性＜0.5Bq/L 和总β放射性＜1Bq/L 的检验指标，回用于井下生产，不外排；生活污水和锅炉排水采用“水解酸化+接触氧化+消毒”工艺处理后，水质应满足《城市污水再生利用 城市杂用水水质》（GB/T18920-2020）中城市绿化、道路清扫、消防、建筑施工用水水质标准和《城市污水再生利用 工业用水水水质》（GB/T19923-2024）中锅炉补给水要求，回用于地面生产，不外排。</w:t>
            </w:r>
          </w:p>
          <w:p w14:paraId="7F044BF2">
            <w:pPr>
              <w:autoSpaceDN w:val="0"/>
              <w:adjustRightInd w:val="0"/>
              <w:snapToGrid w:val="0"/>
              <w:spacing w:line="360" w:lineRule="auto"/>
              <w:ind w:firstLine="420" w:firstLineChars="15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（三）噪声污染防治措施</w:t>
            </w:r>
          </w:p>
          <w:p w14:paraId="58A620DF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尽量选用低噪声设备，并根据噪声源特征分别采取消声、吸声、隔声及减振等措施，厂界噪声值应满足《工业企业厂界环境噪声排放标准》（GB12348-2008）2类标准要求。</w:t>
            </w:r>
          </w:p>
          <w:p w14:paraId="0922532F">
            <w:pPr>
              <w:autoSpaceDN w:val="0"/>
              <w:adjustRightInd w:val="0"/>
              <w:snapToGrid w:val="0"/>
              <w:spacing w:line="360" w:lineRule="auto"/>
              <w:ind w:firstLine="420" w:firstLineChars="15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（四）固体废物治理</w:t>
            </w:r>
          </w:p>
          <w:p w14:paraId="0F0BEBD7">
            <w:pPr>
              <w:autoSpaceDN w:val="0"/>
              <w:adjustRightInd w:val="0"/>
              <w:snapToGrid w:val="0"/>
              <w:spacing w:line="360" w:lineRule="auto"/>
              <w:ind w:firstLine="700" w:firstLineChars="25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营期矸石全部用于井下充填；矿井水处理站污泥经压滤脱水后外售；生活污水处理站污泥与生活垃圾一并送环卫部门指定地点统一处理；锅炉和热风炉灰渣，布袋除尘器收尘，统一收集后外售综合利用；废布袋由生产厂家回收；原煤筛分过程收尘外售利用；废旧矿灯全部由厂家回收处置。危险废物主要为矿车修理间废矿物油（废润滑油、废机油等），废乳化液，废铅蓄电池，废油桶，经专用容器收集至危险废物贮存点后定期交由有资质单位处置。</w:t>
            </w:r>
          </w:p>
          <w:p w14:paraId="65174BA3">
            <w:pPr>
              <w:autoSpaceDN w:val="0"/>
              <w:adjustRightInd w:val="0"/>
              <w:snapToGrid w:val="0"/>
              <w:spacing w:line="360" w:lineRule="auto"/>
              <w:ind w:firstLine="420" w:firstLineChars="15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地下水环境污染防治措施</w:t>
            </w:r>
          </w:p>
          <w:p w14:paraId="5791C0A0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针对项目可能发生的地下水污染，地下水污染防治措施按照“源头控制、末端防治、污染监控、应急响应”相结合的原则，从污染物的产生、入渗、扩散、应急响应全阶段进行控制。</w:t>
            </w:r>
          </w:p>
          <w:p w14:paraId="09D5566C">
            <w:pPr>
              <w:pStyle w:val="3"/>
              <w:overflowPunct w:val="0"/>
              <w:adjustRightInd w:val="0"/>
              <w:spacing w:before="0" w:after="0" w:line="360" w:lineRule="auto"/>
              <w:ind w:right="0" w:firstLine="48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防渗区：危险废物贮存点布置须严格按照《危险废物贮存污染控制标准》（GB18597-2023）要求进行防渗、防腐处理，油脂库、机加、电修车间参照《危险废物贮存污染控制标准》（GB18597-2023）要求进行防渗、防腐处理，等效黏土防渗层 Mb≥6m，渗透系数K≤1×10</w:t>
            </w:r>
            <w:r>
              <w:rPr>
                <w:rFonts w:eastAsia="仿宋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-7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cm/s，并进行定期检查，确保消除跑、冒、滴、漏现象发生。</w:t>
            </w:r>
          </w:p>
          <w:p w14:paraId="5861158B">
            <w:pPr>
              <w:pStyle w:val="3"/>
              <w:overflowPunct w:val="0"/>
              <w:adjustRightInd w:val="0"/>
              <w:spacing w:before="0" w:after="0" w:line="360" w:lineRule="auto"/>
              <w:ind w:right="0" w:firstLine="48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一般防渗区：储煤库、初期雨水池等设置为一般防渗区，等效黏土防渗层Mb≥1.5m，渗透系数K≤1×10</w:t>
            </w:r>
            <w:r>
              <w:rPr>
                <w:rFonts w:eastAsia="仿宋"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-7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cm/s。</w:t>
            </w:r>
          </w:p>
          <w:p w14:paraId="1F846B10">
            <w:pPr>
              <w:pStyle w:val="3"/>
              <w:overflowPunct w:val="0"/>
              <w:adjustRightInd w:val="0"/>
              <w:spacing w:before="0" w:after="0" w:line="360" w:lineRule="auto"/>
              <w:ind w:right="0" w:firstLine="48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简单防渗区：</w:t>
            </w:r>
          </w:p>
          <w:p w14:paraId="043860F2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除重点防渗区、一般防渗区以外的区域，采取简单硬化措施。</w:t>
            </w:r>
          </w:p>
          <w:p w14:paraId="0C64185B">
            <w:pPr>
              <w:autoSpaceDN w:val="0"/>
              <w:adjustRightInd w:val="0"/>
              <w:snapToGrid w:val="0"/>
              <w:spacing w:line="360" w:lineRule="auto"/>
              <w:ind w:firstLine="420" w:firstLineChars="15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（六）土壤环境污染防治措施</w:t>
            </w:r>
          </w:p>
          <w:p w14:paraId="787B55D1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通过加强生产管理，加强防渗监控，进行跟踪监测，</w:t>
            </w:r>
            <w:bookmarkStart w:id="0" w:name="_GoBack"/>
            <w:bookmarkEnd w:id="0"/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降低对周围土壤环境的影响。</w:t>
            </w:r>
          </w:p>
          <w:p w14:paraId="3D68085C">
            <w:pPr>
              <w:autoSpaceDN w:val="0"/>
              <w:adjustRightInd w:val="0"/>
              <w:snapToGrid w:val="0"/>
              <w:spacing w:line="360" w:lineRule="auto"/>
              <w:ind w:firstLine="420" w:firstLineChars="15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（七）生态环境保护措施</w:t>
            </w:r>
          </w:p>
          <w:p w14:paraId="5B158DCF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项目采用充填开采工艺，对井田内受影响的耕地和林、草地进行复垦。对井田边界留设足够保护煤柱。同步开展地表移动变形、生态影响等长期跟踪监测观测，评估充填开采效果，必要时调整开采方案。</w:t>
            </w:r>
          </w:p>
          <w:p w14:paraId="5D657A7C">
            <w:pPr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三、环境风险防范措施</w:t>
            </w:r>
          </w:p>
          <w:p w14:paraId="4B7A196B">
            <w:pPr>
              <w:pStyle w:val="25"/>
              <w:snapToGrid w:val="0"/>
              <w:spacing w:line="360" w:lineRule="auto"/>
              <w:ind w:firstLine="691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对照相关文件要求，编制突发环境事件应急预案，并在相应的行政主管部门进行备案，切实加以落实预案、三级防控体系要求。</w:t>
            </w:r>
          </w:p>
        </w:tc>
      </w:tr>
      <w:tr w14:paraId="6616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16499550">
            <w:pPr>
              <w:pStyle w:val="12"/>
              <w:snapToGrid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公众参与情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1873E0C8">
            <w:pPr>
              <w:snapToGrid w:val="0"/>
              <w:spacing w:line="360" w:lineRule="auto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已开展</w:t>
            </w:r>
          </w:p>
        </w:tc>
      </w:tr>
      <w:tr w14:paraId="287B6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2" w:hRule="atLeast"/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76B6786C">
            <w:pPr>
              <w:pStyle w:val="12"/>
              <w:snapToGrid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建设单位或地方政府所作出的相应环境保护措施承诺文件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21C7CEE1">
            <w:pPr>
              <w:snapToGrid w:val="0"/>
              <w:spacing w:line="360" w:lineRule="auto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A7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5296E2CF">
            <w:pPr>
              <w:widowControl/>
              <w:shd w:val="clear" w:color="auto" w:fill="FFFFFF"/>
              <w:snapToGrid w:val="0"/>
              <w:spacing w:line="360" w:lineRule="auto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拟批复</w:t>
            </w:r>
          </w:p>
          <w:p w14:paraId="0647066F">
            <w:pPr>
              <w:widowControl/>
              <w:shd w:val="clear" w:color="auto" w:fill="FFFFFF"/>
              <w:snapToGrid w:val="0"/>
              <w:spacing w:line="360" w:lineRule="auto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vAlign w:val="center"/>
          </w:tcPr>
          <w:p w14:paraId="19896641">
            <w:pPr>
              <w:snapToGrid w:val="0"/>
              <w:spacing w:line="360" w:lineRule="auto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</w:tr>
    </w:tbl>
    <w:p w14:paraId="009293B2">
      <w:pPr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鹤岗市生态环境局</w:t>
      </w:r>
    </w:p>
    <w:p w14:paraId="5E0C98A3">
      <w:pPr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0DD81BA">
      <w:pP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zdhNDY4ZTA4YTIxNDg5ZTY4ZTZkZGYxMGE5MmIifQ=="/>
  </w:docVars>
  <w:rsids>
    <w:rsidRoot w:val="37171A61"/>
    <w:rsid w:val="000275A3"/>
    <w:rsid w:val="00042EBB"/>
    <w:rsid w:val="001310FA"/>
    <w:rsid w:val="00174636"/>
    <w:rsid w:val="001C5F11"/>
    <w:rsid w:val="003520E2"/>
    <w:rsid w:val="00382580"/>
    <w:rsid w:val="004B271E"/>
    <w:rsid w:val="004D02E4"/>
    <w:rsid w:val="004E370E"/>
    <w:rsid w:val="00571BDE"/>
    <w:rsid w:val="00664654"/>
    <w:rsid w:val="00797EA6"/>
    <w:rsid w:val="00804923"/>
    <w:rsid w:val="00841278"/>
    <w:rsid w:val="00843266"/>
    <w:rsid w:val="009A1668"/>
    <w:rsid w:val="00AD183B"/>
    <w:rsid w:val="00B06034"/>
    <w:rsid w:val="00BA629C"/>
    <w:rsid w:val="00D743AD"/>
    <w:rsid w:val="00D82108"/>
    <w:rsid w:val="041C5514"/>
    <w:rsid w:val="049C7DEF"/>
    <w:rsid w:val="06DB3CE0"/>
    <w:rsid w:val="0B58189F"/>
    <w:rsid w:val="0FD318D6"/>
    <w:rsid w:val="149017BE"/>
    <w:rsid w:val="15AA1C40"/>
    <w:rsid w:val="17AC6144"/>
    <w:rsid w:val="1A2E4822"/>
    <w:rsid w:val="1A6A36E7"/>
    <w:rsid w:val="1CB9558B"/>
    <w:rsid w:val="20F61668"/>
    <w:rsid w:val="21C961A7"/>
    <w:rsid w:val="21EA3B0F"/>
    <w:rsid w:val="23C40371"/>
    <w:rsid w:val="24D34D10"/>
    <w:rsid w:val="26926505"/>
    <w:rsid w:val="28F31BA1"/>
    <w:rsid w:val="2B4F6B69"/>
    <w:rsid w:val="2B8B12B1"/>
    <w:rsid w:val="2EED5A1B"/>
    <w:rsid w:val="2EF75A9F"/>
    <w:rsid w:val="30930421"/>
    <w:rsid w:val="37171A61"/>
    <w:rsid w:val="372E4027"/>
    <w:rsid w:val="381274A5"/>
    <w:rsid w:val="3C5630A1"/>
    <w:rsid w:val="3E5B01E6"/>
    <w:rsid w:val="40E63C12"/>
    <w:rsid w:val="40F215D8"/>
    <w:rsid w:val="415428DD"/>
    <w:rsid w:val="41782A6F"/>
    <w:rsid w:val="47743CD8"/>
    <w:rsid w:val="491570B1"/>
    <w:rsid w:val="4EEF44CD"/>
    <w:rsid w:val="543F1973"/>
    <w:rsid w:val="55BB38E7"/>
    <w:rsid w:val="57345FA6"/>
    <w:rsid w:val="57C24474"/>
    <w:rsid w:val="58B7229A"/>
    <w:rsid w:val="58DD4C54"/>
    <w:rsid w:val="594976BD"/>
    <w:rsid w:val="5F096A11"/>
    <w:rsid w:val="5FEA4540"/>
    <w:rsid w:val="636B3624"/>
    <w:rsid w:val="664B39FF"/>
    <w:rsid w:val="67B13D35"/>
    <w:rsid w:val="6B4948EF"/>
    <w:rsid w:val="6C1F27DA"/>
    <w:rsid w:val="6DD8026E"/>
    <w:rsid w:val="6E6733A0"/>
    <w:rsid w:val="71FB452B"/>
    <w:rsid w:val="790F182A"/>
    <w:rsid w:val="7C6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napToGrid w:val="0"/>
      <w:spacing w:line="360" w:lineRule="auto"/>
      <w:jc w:val="left"/>
      <w:outlineLvl w:val="3"/>
    </w:pPr>
    <w:rPr>
      <w:rFonts w:ascii="Arial" w:hAnsi="Arial"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after="120"/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table of authorities"/>
    <w:basedOn w:val="1"/>
    <w:next w:val="1"/>
    <w:autoRedefine/>
    <w:qFormat/>
    <w:uiPriority w:val="0"/>
    <w:pPr>
      <w:spacing w:line="360" w:lineRule="auto"/>
      <w:ind w:left="420" w:leftChars="200" w:firstLine="640" w:firstLineChars="200"/>
    </w:pPr>
    <w:rPr>
      <w:sz w:val="24"/>
      <w:szCs w:val="24"/>
    </w:rPr>
  </w:style>
  <w:style w:type="paragraph" w:styleId="6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autoRedefine/>
    <w:qFormat/>
    <w:uiPriority w:val="99"/>
    <w:rPr>
      <w:rFonts w:ascii="Calibri" w:hAnsi="Calibri"/>
      <w:color w:val="000000"/>
      <w:sz w:val="18"/>
      <w:szCs w:val="18"/>
    </w:rPr>
  </w:style>
  <w:style w:type="paragraph" w:styleId="8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rPr>
      <w:szCs w:val="24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12">
    <w:name w:val="Normal (Web)"/>
    <w:basedOn w:val="1"/>
    <w:autoRedefine/>
    <w:qFormat/>
    <w:uiPriority w:val="0"/>
    <w:pPr>
      <w:widowControl/>
      <w:spacing w:before="100" w:after="100" w:line="15" w:lineRule="atLeast"/>
      <w:jc w:val="center"/>
    </w:pPr>
    <w:rPr>
      <w:rFonts w:ascii="仿宋" w:hAnsi="仿宋" w:eastAsia="仿宋" w:cs="仿宋"/>
      <w:sz w:val="32"/>
      <w:szCs w:val="32"/>
    </w:rPr>
  </w:style>
  <w:style w:type="paragraph" w:styleId="13">
    <w:name w:val="Title"/>
    <w:basedOn w:val="1"/>
    <w:next w:val="1"/>
    <w:autoRedefine/>
    <w:qFormat/>
    <w:uiPriority w:val="10"/>
    <w:pPr>
      <w:spacing w:before="120" w:after="12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6">
    <w:name w:val="Default"/>
    <w:basedOn w:val="17"/>
    <w:next w:val="1"/>
    <w:autoRedefine/>
    <w:qFormat/>
    <w:uiPriority w:val="0"/>
    <w:pPr>
      <w:autoSpaceDE w:val="0"/>
      <w:autoSpaceDN w:val="0"/>
      <w:adjustRightInd w:val="0"/>
    </w:pPr>
    <w:rPr>
      <w:rFonts w:hAnsi="Times New Roman" w:cs="宋体"/>
      <w:color w:val="000000"/>
      <w:sz w:val="24"/>
      <w:szCs w:val="24"/>
    </w:rPr>
  </w:style>
  <w:style w:type="paragraph" w:customStyle="1" w:styleId="17">
    <w:name w:val="纯文本1"/>
    <w:basedOn w:val="1"/>
    <w:autoRedefine/>
    <w:qFormat/>
    <w:uiPriority w:val="0"/>
    <w:rPr>
      <w:rFonts w:hint="eastAsia" w:ascii="宋体" w:hAnsi="Courier New"/>
    </w:rPr>
  </w:style>
  <w:style w:type="paragraph" w:customStyle="1" w:styleId="18">
    <w:name w:val="Normal (Web)1"/>
    <w:basedOn w:val="1"/>
    <w:next w:val="19"/>
    <w:autoRedefine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19">
    <w:name w:val="Date1"/>
    <w:basedOn w:val="1"/>
    <w:next w:val="1"/>
    <w:qFormat/>
    <w:uiPriority w:val="0"/>
    <w:pPr>
      <w:ind w:left="2500" w:leftChars="2500"/>
    </w:pPr>
  </w:style>
  <w:style w:type="paragraph" w:customStyle="1" w:styleId="20">
    <w:name w:val="baby-正文"/>
    <w:basedOn w:val="3"/>
    <w:next w:val="7"/>
    <w:autoRedefine/>
    <w:qFormat/>
    <w:uiPriority w:val="0"/>
    <w:pPr>
      <w:spacing w:line="240" w:lineRule="auto"/>
    </w:pPr>
    <w:rPr>
      <w:rFonts w:ascii="仿宋_GB2312" w:hAnsi="宋体"/>
      <w:bCs/>
      <w:kern w:val="2"/>
      <w:sz w:val="30"/>
      <w:szCs w:val="24"/>
    </w:rPr>
  </w:style>
  <w:style w:type="paragraph" w:customStyle="1" w:styleId="21">
    <w:name w:val="【正文】"/>
    <w:autoRedefine/>
    <w:qFormat/>
    <w:uiPriority w:val="0"/>
    <w:pPr>
      <w:spacing w:line="500" w:lineRule="exact"/>
    </w:pPr>
    <w:rPr>
      <w:rFonts w:ascii="宋体" w:hAnsi="Calibri" w:eastAsia="Calibri" w:cs="Times New Roman"/>
      <w:lang w:val="en-US" w:eastAsia="zh-CN" w:bidi="ar-SA"/>
    </w:rPr>
  </w:style>
  <w:style w:type="paragraph" w:customStyle="1" w:styleId="22">
    <w:name w:val="正文（首行缩进两字） Char"/>
    <w:basedOn w:val="1"/>
    <w:autoRedefine/>
    <w:qFormat/>
    <w:uiPriority w:val="0"/>
    <w:pPr>
      <w:widowControl/>
      <w:spacing w:line="360" w:lineRule="auto"/>
      <w:ind w:firstLine="480" w:firstLineChars="150"/>
    </w:pPr>
    <w:rPr>
      <w:rFonts w:eastAsia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23">
    <w:name w:val="正文文字缩进1"/>
    <w:basedOn w:val="6"/>
    <w:qFormat/>
    <w:uiPriority w:val="0"/>
    <w:pPr>
      <w:spacing w:after="0" w:line="360" w:lineRule="auto"/>
      <w:ind w:left="0" w:leftChars="0" w:firstLine="560"/>
    </w:pPr>
    <w:rPr>
      <w:rFonts w:ascii="黑体" w:hAnsi="Arial Black" w:eastAsia="黑体"/>
      <w:b/>
      <w:bCs/>
      <w:sz w:val="28"/>
      <w:szCs w:val="20"/>
    </w:rPr>
  </w:style>
  <w:style w:type="paragraph" w:customStyle="1" w:styleId="24">
    <w:name w:val="C首行缩进正文"/>
    <w:basedOn w:val="21"/>
    <w:qFormat/>
    <w:uiPriority w:val="0"/>
    <w:rPr>
      <w:sz w:val="21"/>
    </w:rPr>
  </w:style>
  <w:style w:type="paragraph" w:customStyle="1" w:styleId="25">
    <w:name w:val="正文 + 首行缩进:  2 字符"/>
    <w:basedOn w:val="1"/>
    <w:qFormat/>
    <w:uiPriority w:val="0"/>
    <w:pPr>
      <w:spacing w:line="460" w:lineRule="atLeast"/>
      <w:ind w:firstLine="528"/>
    </w:pPr>
    <w:rPr>
      <w:spacing w:val="12"/>
      <w:szCs w:val="20"/>
    </w:rPr>
  </w:style>
  <w:style w:type="paragraph" w:customStyle="1" w:styleId="26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hAnsi="宋体" w:cs="宋体"/>
      <w:sz w:val="24"/>
    </w:rPr>
  </w:style>
  <w:style w:type="character" w:customStyle="1" w:styleId="27">
    <w:name w:val="页眉 Char"/>
    <w:basedOn w:val="15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页脚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[1]正文 Char Char"/>
    <w:basedOn w:val="15"/>
    <w:qFormat/>
    <w:uiPriority w:val="0"/>
    <w:rPr>
      <w:rFonts w:ascii="Calibri" w:hAnsi="Calibri" w:eastAsia="宋体"/>
      <w:kern w:val="2"/>
      <w:sz w:val="28"/>
      <w:szCs w:val="28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2807</Words>
  <Characters>3159</Characters>
  <Lines>22</Lines>
  <Paragraphs>6</Paragraphs>
  <TotalTime>16</TotalTime>
  <ScaleCrop>false</ScaleCrop>
  <LinksUpToDate>false</LinksUpToDate>
  <CharactersWithSpaces>3203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2025-08-07T05:52:00Z</dcterms:created>
  <dc:creator>Dawn</dc:creator>
  <cp:lastModifiedBy>鹤</cp:lastModifiedBy>
  <cp:lastPrinted>2025-09-05T01:56:00Z</cp:lastPrinted>
  <dcterms:modified xsi:type="dcterms:W3CDTF">2025-09-10T00:21:49Z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2F90C6C163014FAABE5A0CEDDA96C8F9_13</vt:lpwstr>
  </property>
  <property fmtid="{D5CDD505-2E9C-101B-9397-08002B2CF9AE}" pid="4" name="KSOTemplateDocerSaveRecord">
    <vt:lpwstr>eyJoZGlkIjoiZmQ0M2ZmZTNmMjRmMTcwNzgzNzFjMTE0ZTk0YTgzOGEiLCJ1c2VySWQiOiI0OTcxNzU2MTIifQ==</vt:lpwstr>
  </property>
</Properties>
</file>