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43AB3">
      <w:pPr>
        <w:autoSpaceDE w:val="0"/>
        <w:autoSpaceDN w:val="0"/>
        <w:adjustRightInd w:val="0"/>
        <w:rPr>
          <w:rFonts w:eastAsia="仿宋"/>
        </w:rPr>
      </w:pPr>
    </w:p>
    <w:p w14:paraId="4C615EEB">
      <w:pPr>
        <w:autoSpaceDE w:val="0"/>
        <w:autoSpaceDN w:val="0"/>
        <w:adjustRightInd w:val="0"/>
        <w:rPr>
          <w:rFonts w:eastAsia="仿宋"/>
        </w:rPr>
      </w:pPr>
    </w:p>
    <w:p w14:paraId="0A0EB836">
      <w:pPr>
        <w:autoSpaceDE w:val="0"/>
        <w:autoSpaceDN w:val="0"/>
        <w:adjustRightInd w:val="0"/>
        <w:ind w:right="318" w:rightChars="100"/>
        <w:jc w:val="right"/>
      </w:pPr>
      <w:r>
        <w:rPr>
          <w:rFonts w:eastAsia="仿宋"/>
        </w:rPr>
        <w:t>鹤环许〔2025〕17号</w:t>
      </w:r>
    </w:p>
    <w:p w14:paraId="097E8A20">
      <w:pPr>
        <w:autoSpaceDE w:val="0"/>
        <w:autoSpaceDN w:val="0"/>
        <w:adjustRightInd w:val="0"/>
        <w:rPr>
          <w:rFonts w:eastAsia="仿宋"/>
        </w:rPr>
      </w:pPr>
    </w:p>
    <w:p w14:paraId="431C0ECA">
      <w:pPr>
        <w:autoSpaceDE w:val="0"/>
        <w:autoSpaceDN w:val="0"/>
        <w:adjustRightInd w:val="0"/>
        <w:spacing w:line="0" w:lineRule="atLeast"/>
        <w:ind w:left="438" w:hanging="438" w:hangingChars="100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  <w:highlight w:val="none"/>
        </w:rPr>
        <w:t>关于鹤岗市金沃矿业有限公司（原鹤岗市德成煤矿）资源整合项目环境影响报告书的批复</w:t>
      </w:r>
    </w:p>
    <w:p w14:paraId="5E9950A6">
      <w:pPr>
        <w:autoSpaceDE w:val="0"/>
        <w:autoSpaceDN w:val="0"/>
        <w:adjustRightInd w:val="0"/>
        <w:ind w:firstLine="636" w:firstLineChars="200"/>
        <w:rPr>
          <w:rFonts w:eastAsia="仿宋"/>
        </w:rPr>
      </w:pPr>
    </w:p>
    <w:p w14:paraId="7EAE5DFB">
      <w:pPr>
        <w:rPr>
          <w:rFonts w:eastAsia="仿宋"/>
        </w:rPr>
      </w:pPr>
      <w:r>
        <w:rPr>
          <w:rFonts w:eastAsia="仿宋"/>
        </w:rPr>
        <w:t>鹤岗市金沃矿业有限公司：</w:t>
      </w:r>
    </w:p>
    <w:p w14:paraId="52EA281A">
      <w:pPr>
        <w:ind w:firstLine="636" w:firstLineChars="200"/>
        <w:rPr>
          <w:rFonts w:eastAsia="仿宋"/>
        </w:rPr>
      </w:pPr>
      <w:r>
        <w:rPr>
          <w:rFonts w:eastAsia="仿宋"/>
        </w:rPr>
        <w:t>你公司报送的《鹤岗市金沃矿业有限公司（原鹤岗市德成煤矿）资源整合项目环境影响报告书》（以下简称《报告书》）收悉，结合鹤岗市环境技术中心技术评估意见，经研究，提出如下审批意见。</w:t>
      </w:r>
    </w:p>
    <w:p w14:paraId="58F3F5C7">
      <w:pPr>
        <w:pStyle w:val="5"/>
        <w:ind w:firstLine="636" w:firstLineChars="200"/>
        <w:jc w:val="both"/>
        <w:rPr>
          <w:rFonts w:eastAsia="仿宋"/>
          <w:sz w:val="32"/>
          <w:szCs w:val="32"/>
          <w:lang w:val="en-GB"/>
        </w:rPr>
      </w:pPr>
      <w:r>
        <w:rPr>
          <w:rFonts w:eastAsia="黑体"/>
          <w:b w:val="0"/>
          <w:bCs/>
          <w:sz w:val="32"/>
          <w:szCs w:val="32"/>
        </w:rPr>
        <w:t>一、项目基本情况</w:t>
      </w:r>
    </w:p>
    <w:p w14:paraId="5F9844C5">
      <w:pPr>
        <w:ind w:firstLine="636" w:firstLineChars="200"/>
        <w:rPr>
          <w:rFonts w:eastAsia="仿宋"/>
          <w:highlight w:val="none"/>
        </w:rPr>
      </w:pPr>
      <w:r>
        <w:rPr>
          <w:rFonts w:hint="eastAsia" w:eastAsia="仿宋"/>
        </w:rPr>
        <w:t>该项目首采区变更，属于发生重大变动，进行重新报批环境影响评价文件。</w:t>
      </w:r>
      <w:r>
        <w:rPr>
          <w:rFonts w:eastAsia="仿宋"/>
        </w:rPr>
        <w:t>项目建设性质为改扩建，建设地点位于黑龙江鹤岗市兴山区北大岭，井田面积1.0336km</w:t>
      </w:r>
      <w:r>
        <w:rPr>
          <w:rFonts w:eastAsia="仿宋"/>
          <w:vertAlign w:val="superscript"/>
        </w:rPr>
        <w:t>2</w:t>
      </w:r>
      <w:r>
        <w:rPr>
          <w:rFonts w:eastAsia="仿宋"/>
        </w:rPr>
        <w:t>，设计生产能力30万t/a，服务年限为14.3年，共布置4处地面工业场地（DC-1工业场地、DC-2工业场地、DC-3工业场地和DC-4工业场地）和1处雷管库和火药库，4处工业场地内共布置5条井筒，分别为一采区内主斜井和副斜井、一采区专用回风斜井、二采区内副斜井和二采区专用回风斜井。开拓方式采取斜井单水平分区式，长壁采煤法，顶板管理为全部垮落法。主体工程还包括井底车场及硐室等，辅助工程主要为机加、电修车间和坑木加工房。DC-1工业场地内设置一台1.75MW</w:t>
      </w:r>
      <w:r>
        <w:rPr>
          <w:rFonts w:eastAsia="仿宋"/>
          <w:highlight w:val="none"/>
        </w:rPr>
        <w:t>生物质供暖热水锅炉；DC-2工业场地内设置1台240万kcal/h（4t/h）生物质热风炉、生活污水处理站和矿井水处理站，DC-3工业场地内设置一台240万kcal/h（4t/h）生物质热风炉。项目总投资为10418.21万元，其中环保投资为836万元。</w:t>
      </w:r>
    </w:p>
    <w:p w14:paraId="0EDFB276">
      <w:pPr>
        <w:ind w:firstLine="636" w:firstLineChars="200"/>
        <w:rPr>
          <w:rFonts w:eastAsia="仿宋"/>
          <w:highlight w:val="none"/>
        </w:rPr>
      </w:pPr>
      <w:r>
        <w:rPr>
          <w:rFonts w:eastAsia="仿宋"/>
          <w:highlight w:val="none"/>
        </w:rPr>
        <w:t>在全面落实《报告书》提出的各项污染防治措施前提下，工程建设对环境的不利影响可得到缓解和控制。因此，我局原则同意《报告书》中所列建设项目的性质、规模、地点和拟采取的环境保护措施。</w:t>
      </w:r>
    </w:p>
    <w:p w14:paraId="408CF10C">
      <w:pPr>
        <w:ind w:firstLine="636" w:firstLineChars="200"/>
        <w:rPr>
          <w:rFonts w:eastAsia="黑体"/>
          <w:bCs/>
          <w:kern w:val="0"/>
          <w:highlight w:val="none"/>
        </w:rPr>
      </w:pPr>
      <w:r>
        <w:rPr>
          <w:rFonts w:eastAsia="黑体"/>
          <w:bCs/>
          <w:kern w:val="0"/>
          <w:highlight w:val="none"/>
        </w:rPr>
        <w:t>二、项目设计、建设和运行管理中应重点做好的工作</w:t>
      </w:r>
    </w:p>
    <w:p w14:paraId="132757AA">
      <w:pPr>
        <w:ind w:firstLine="636" w:firstLineChars="200"/>
        <w:rPr>
          <w:highlight w:val="none"/>
        </w:rPr>
      </w:pPr>
      <w:r>
        <w:rPr>
          <w:rFonts w:eastAsia="楷体"/>
          <w:highlight w:val="none"/>
        </w:rPr>
        <w:t>（一）落实大气污染防治措施。</w:t>
      </w:r>
      <w:r>
        <w:rPr>
          <w:rFonts w:eastAsia="仿宋"/>
          <w:highlight w:val="none"/>
        </w:rPr>
        <w:t>做好施工期和运营期扬尘污染防治，对施工期物料采取苫盖等措施，运营期原煤、产品煤、</w:t>
      </w:r>
      <w:r>
        <w:rPr>
          <w:rFonts w:eastAsia="仿宋"/>
        </w:rPr>
        <w:t>矸石采用全封闭贮存，输送等产尘环节采取除尘措施，场内输煤采用全封闭输煤栈桥。生物质热水锅炉烟气通过布袋除尘器处理后经1根30m</w:t>
      </w:r>
      <w:r>
        <w:rPr>
          <w:rFonts w:eastAsia="仿宋"/>
          <w:highlight w:val="none"/>
        </w:rPr>
        <w:t>高烟囱排放，烟气中污染物浓度均应满足《锅炉大气污染物排放标标准》（GB13271-2014）表2标准要求；生物质热风炉烟气通过各自布袋除尘器处理后分别经1根30m高烟囱排放，烟气中污染物浓度均应满足《工业炉窑大气污染物排放标准》（GB9078-1996）要求。该项目原煤输送至DC-2工业场地内的储煤库进行简单筛分，储煤库内设置一套布袋除尘器，经布袋除尘器处理后由20m高排气筒排放，储煤库全封闭并进行洒水降尘，采取以上措施后，储煤库有组织颗粒物排放应满足《煤炭工业污染物排放标准》（GB20426-2006）表4排放限值要求，无组织颗粒物应满足《煤炭工业污染物排放标准》（GB20426-2006）表5排放限值要求。工业场地内运输道路地面硬化，定期洒水降尘，并避免在大风天气运输原煤，运输扬尘应满足《煤炭工业污染物排放标准》（GB20426-2006）中表5限值要求。采矿时加强矿井通风，并实时监测，井下作业时加强井下喷雾及其他综合防尘措施，瓦斯抽排排放浓度应满足《煤层气（煤矿瓦斯）排放标准》（GB21522-2024）的要求。食堂油烟经油烟净化器净化后经专用烟道由屋顶排放，油烟浓度应满足《饮食业油烟排放标准（试行）》（GB18483-2001）中型排放标准限值要求。生活污水设施密闭运行，定期喷洒除臭剂，对污水处理站产生的污泥及时清理，加强污水处理站周边卫生，恶臭污染物均应满足《恶臭污染物排放标准》（GB14554-93）表1中的标准限值要求。油脂库和危险废物贮存点内油类物质储存于封闭油桶内，库房密闭，厂房外1h平均浓度值应满足《挥发性有机物无组织排放控制标准》（GB37822-2019）10mg/m</w:t>
      </w:r>
      <w:r>
        <w:rPr>
          <w:rFonts w:eastAsia="仿宋"/>
          <w:highlight w:val="none"/>
          <w:vertAlign w:val="superscript"/>
        </w:rPr>
        <w:t>3</w:t>
      </w:r>
      <w:r>
        <w:rPr>
          <w:rFonts w:eastAsia="仿宋"/>
          <w:highlight w:val="none"/>
        </w:rPr>
        <w:t>限值要求，厂房外任意一次浓度值应满足《挥发性有机物无组织排放控制标准》（GB37822-2019）30mg/m</w:t>
      </w:r>
      <w:r>
        <w:rPr>
          <w:rFonts w:eastAsia="仿宋"/>
          <w:highlight w:val="none"/>
          <w:vertAlign w:val="superscript"/>
        </w:rPr>
        <w:t>3</w:t>
      </w:r>
      <w:r>
        <w:rPr>
          <w:rFonts w:eastAsia="仿宋"/>
          <w:highlight w:val="none"/>
        </w:rPr>
        <w:t>限值要求。厂界无组织非甲烷总烃排放满足《大气污染物综合排放标准》（GB16297-1996）周界外浓度最高点4.0mg/m</w:t>
      </w:r>
      <w:r>
        <w:rPr>
          <w:rFonts w:eastAsia="仿宋"/>
          <w:highlight w:val="none"/>
          <w:vertAlign w:val="superscript"/>
        </w:rPr>
        <w:t>3</w:t>
      </w:r>
      <w:r>
        <w:rPr>
          <w:rFonts w:eastAsia="仿宋"/>
          <w:highlight w:val="none"/>
        </w:rPr>
        <w:t>限值要求。坑木加工房全封闭设置，加工完成后及时清理场地；灌浆站内物料输送和搅拌过程均封闭，且与水搅拌；矸石充填站位于井下，采取洒水抑尘措施，无组织颗粒物浓度应满足《煤炭工业污染物排放标准》（GB20426-2006）中表5标准限值要求。</w:t>
      </w:r>
    </w:p>
    <w:p w14:paraId="5A947C09">
      <w:pPr>
        <w:ind w:firstLine="636" w:firstLineChars="200"/>
        <w:rPr>
          <w:highlight w:val="none"/>
        </w:rPr>
      </w:pPr>
      <w:r>
        <w:rPr>
          <w:rFonts w:eastAsia="楷体"/>
          <w:highlight w:val="none"/>
        </w:rPr>
        <w:t>（二）做好水污染防治工作。</w:t>
      </w:r>
      <w:r>
        <w:rPr>
          <w:rFonts w:hint="eastAsia" w:eastAsia="仿宋"/>
          <w:highlight w:val="none"/>
        </w:rPr>
        <w:t>DC-2工业场地</w:t>
      </w:r>
      <w:r>
        <w:rPr>
          <w:rFonts w:eastAsia="仿宋"/>
          <w:highlight w:val="none"/>
        </w:rPr>
        <w:t>建设一座处理规模650m</w:t>
      </w:r>
      <w:r>
        <w:rPr>
          <w:rFonts w:eastAsia="仿宋"/>
          <w:highlight w:val="none"/>
          <w:vertAlign w:val="superscript"/>
        </w:rPr>
        <w:t>3</w:t>
      </w:r>
      <w:r>
        <w:rPr>
          <w:rFonts w:eastAsia="仿宋"/>
          <w:highlight w:val="none"/>
        </w:rPr>
        <w:t>/d矿井水处理站，矿井水采用“混凝沉淀+过滤+消毒”工艺处理后，水质应满足《煤矿井下消防洒水设计规范》（GB50383-2016）附录B要求，同时</w:t>
      </w:r>
      <w:r>
        <w:rPr>
          <w:rFonts w:hint="eastAsia" w:eastAsia="仿宋"/>
          <w:highlight w:val="none"/>
        </w:rPr>
        <w:t>满足</w:t>
      </w:r>
      <w:r>
        <w:rPr>
          <w:rFonts w:eastAsia="仿宋"/>
          <w:highlight w:val="none"/>
        </w:rPr>
        <w:t>氟化物＜1.5mg/L、总α放射性＜0.5Bq/L和总β放射性＜1Bq/L的检验指标，回用于井下生产，不外排；DC-2工业场地建设一座处理规模为60m</w:t>
      </w:r>
      <w:r>
        <w:rPr>
          <w:rFonts w:eastAsia="仿宋"/>
          <w:highlight w:val="none"/>
          <w:vertAlign w:val="superscript"/>
        </w:rPr>
        <w:t>3</w:t>
      </w:r>
      <w:r>
        <w:rPr>
          <w:rFonts w:eastAsia="仿宋"/>
          <w:highlight w:val="none"/>
        </w:rPr>
        <w:t>/d的生活污水处理站，生活污水和锅炉排水采用“水解酸化+接触氧化+消毒”工艺处理后，水质应满足《城市污水再生利用 城市杂用水水质》（GB/T18920-2020）中城市绿化、道路清扫、消防、建筑施工用水水质标准和《城市污水再生利用 工业用水水质》（GB/T19923-2024）中锅炉补给水要求，回用于地面生产，不外排。DC-4工业场地设置生活污水暂存罐，定期拉运至DC-2工业场地进行处理。该项目采用雨污分流制，DC-2工业场地设置初期雨水收集池，初期雨水统一收集后经沉淀处理，回用于井下生产。矿井水处理站和生活污水处理站均应配套事故池，矿井水处理站旁设置1座容积650m</w:t>
      </w:r>
      <w:r>
        <w:rPr>
          <w:rFonts w:eastAsia="仿宋"/>
          <w:highlight w:val="none"/>
          <w:vertAlign w:val="superscript"/>
        </w:rPr>
        <w:t>3</w:t>
      </w:r>
      <w:r>
        <w:rPr>
          <w:rFonts w:eastAsia="仿宋"/>
          <w:highlight w:val="none"/>
        </w:rPr>
        <w:t>事故池，生活污水处理站旁设置1座容积 60m</w:t>
      </w:r>
      <w:r>
        <w:rPr>
          <w:rFonts w:eastAsia="仿宋"/>
          <w:highlight w:val="none"/>
          <w:vertAlign w:val="superscript"/>
        </w:rPr>
        <w:t>3</w:t>
      </w:r>
      <w:r>
        <w:rPr>
          <w:rFonts w:eastAsia="仿宋"/>
          <w:highlight w:val="none"/>
        </w:rPr>
        <w:t>事故池，暂存能力均应满足24小时维修要求。地下水落实源头控制、分区防控、污染监控、应急响应等污染防控措施。</w:t>
      </w:r>
    </w:p>
    <w:p w14:paraId="0203EDF9">
      <w:pPr>
        <w:ind w:firstLine="636" w:firstLineChars="200"/>
        <w:rPr>
          <w:rFonts w:eastAsia="仿宋"/>
          <w:highlight w:val="none"/>
        </w:rPr>
      </w:pPr>
      <w:r>
        <w:rPr>
          <w:rFonts w:eastAsia="楷体"/>
          <w:highlight w:val="none"/>
        </w:rPr>
        <w:t>（三）落实隔声降噪措施。</w:t>
      </w:r>
      <w:r>
        <w:rPr>
          <w:rFonts w:eastAsia="仿宋"/>
          <w:highlight w:val="none"/>
        </w:rPr>
        <w:t>运营期选用低噪声设备，并根据噪声源特征分别采取消声、吸声、隔声及减振等措施，厂界噪声值应满足《工业企业厂界环境噪声排放标准》（GB12348-2008）2类标准要求。</w:t>
      </w:r>
    </w:p>
    <w:p w14:paraId="7DC8E6BF">
      <w:pPr>
        <w:ind w:firstLine="636" w:firstLineChars="200"/>
        <w:rPr>
          <w:rFonts w:eastAsia="仿宋"/>
        </w:rPr>
      </w:pPr>
      <w:r>
        <w:rPr>
          <w:rFonts w:eastAsia="楷体"/>
          <w:highlight w:val="none"/>
        </w:rPr>
        <w:t>(四）落实固体废物处置处理措施。</w:t>
      </w:r>
      <w:r>
        <w:rPr>
          <w:rFonts w:eastAsia="仿宋"/>
          <w:highlight w:val="none"/>
        </w:rPr>
        <w:t>运营期矸石全部用于井下充填；矿井水处理站污泥经压滤脱水后外售；生活污水处理站污泥与生活垃圾一并送环卫部门指定地点统一处理；锅炉和热风炉灰渣，布袋除尘器收尘，统一收集后外售综合利用；废布袋由生产厂家回收；原煤筛分过程收尘外售利用；废旧矿灯全部由厂家回收处置。该项目危险废物主要为废矿物油（废润滑油、废机</w:t>
      </w:r>
      <w:r>
        <w:rPr>
          <w:rFonts w:eastAsia="仿宋"/>
        </w:rPr>
        <w:t>油等），废乳化液，废</w:t>
      </w:r>
      <w:r>
        <w:rPr>
          <w:rFonts w:hint="eastAsia" w:eastAsia="仿宋"/>
        </w:rPr>
        <w:t>铅酸</w:t>
      </w:r>
      <w:r>
        <w:rPr>
          <w:rFonts w:eastAsia="仿宋"/>
        </w:rPr>
        <w:t>蓄电池，废油桶，经专用容器收集至危险废物贮存点后定期交由有资质单位处置。</w:t>
      </w:r>
    </w:p>
    <w:p w14:paraId="33535121">
      <w:pPr>
        <w:ind w:firstLine="636" w:firstLineChars="200"/>
        <w:rPr>
          <w:rFonts w:eastAsia="仿宋"/>
        </w:rPr>
      </w:pPr>
      <w:r>
        <w:rPr>
          <w:rFonts w:eastAsia="楷体"/>
        </w:rPr>
        <w:t>（五）加强环境风险防范。</w:t>
      </w:r>
      <w:r>
        <w:rPr>
          <w:rFonts w:eastAsia="仿宋"/>
        </w:rPr>
        <w:t>严格落实《报告书》提出的风险防范措施，针对可能发生的突发环境事件，建立应急联动机制，制定环境风险事故应急预案，严格落实生态环境风险防控要求，定期组织开展监督性检查和风险评估，优化风险防范措施，确保区域生态环境安全；严格落实源头防控措施，防止发生大气、水等污染事件；委托有相应资质的单位对环保设备设施进行设计、施工，建设、运行过程中落实安全生产工作要求，坚决杜绝安全事故问题发生。</w:t>
      </w:r>
    </w:p>
    <w:p w14:paraId="7D448C5F">
      <w:pPr>
        <w:ind w:firstLine="636" w:firstLineChars="200"/>
        <w:rPr>
          <w:rFonts w:eastAsia="仿宋"/>
        </w:rPr>
      </w:pPr>
      <w:r>
        <w:rPr>
          <w:rFonts w:eastAsia="楷体"/>
        </w:rPr>
        <w:t>（六）生态保护措施。</w:t>
      </w:r>
      <w:r>
        <w:rPr>
          <w:rFonts w:eastAsia="仿宋"/>
        </w:rPr>
        <w:t>采用充填开采工艺，对井田内受影响的耕地和林、草地进行复垦。对井田边界留设足够保护煤柱。同步开展地表移动变形、生态影响等长期跟踪监测观测，评估充填开采效果，必要时调整开采方案。</w:t>
      </w:r>
    </w:p>
    <w:p w14:paraId="4AE7272C">
      <w:pPr>
        <w:ind w:firstLine="636" w:firstLineChars="200"/>
        <w:rPr>
          <w:rFonts w:eastAsia="仿宋"/>
        </w:rPr>
      </w:pPr>
      <w:r>
        <w:rPr>
          <w:rFonts w:eastAsia="楷体"/>
        </w:rPr>
        <w:t>（七）土壤污染防治措施。</w:t>
      </w:r>
      <w:r>
        <w:rPr>
          <w:rFonts w:hint="eastAsia" w:eastAsia="仿宋"/>
          <w:lang w:eastAsia="zh-CN"/>
        </w:rPr>
        <w:t>落实报告书中提出的防渗措施，</w:t>
      </w:r>
      <w:r>
        <w:rPr>
          <w:rFonts w:eastAsia="仿宋"/>
        </w:rPr>
        <w:t>加强生产管理</w:t>
      </w:r>
      <w:r>
        <w:rPr>
          <w:rFonts w:hint="eastAsia" w:eastAsia="仿宋"/>
        </w:rPr>
        <w:t>和</w:t>
      </w:r>
      <w:r>
        <w:rPr>
          <w:rFonts w:eastAsia="仿宋"/>
        </w:rPr>
        <w:t>防渗监控，进行跟踪监测。</w:t>
      </w:r>
    </w:p>
    <w:p w14:paraId="5B5E41FD">
      <w:pPr>
        <w:ind w:firstLine="636" w:firstLineChars="200"/>
      </w:pPr>
      <w:r>
        <w:rPr>
          <w:rFonts w:eastAsia="仿宋"/>
        </w:rPr>
        <w:t>三、项目建设必须严格执行配套的环境保护设施与主体工程同时设计、同时施工、同时投产使用的环境保护“三同时”制度。项目竣工后，须按程序实施自主环境保护竣工验收，未经验收或者验收不合格的，不得投入使用。</w:t>
      </w:r>
    </w:p>
    <w:p w14:paraId="11329FFA">
      <w:pPr>
        <w:ind w:firstLine="636" w:firstLineChars="200"/>
        <w:rPr>
          <w:rFonts w:eastAsia="仿宋"/>
        </w:rPr>
      </w:pPr>
      <w:r>
        <w:rPr>
          <w:rFonts w:eastAsia="仿宋"/>
        </w:rPr>
        <w:t>四、《报告书》经批准后，项目的性质、规模、地点或者防治污染、防止生态破坏的措施发生重大变动的，应当重新报批该项目的《报告书》。自《报告书》批复文件批准之日起，如超过五年方决定开工建设的，《报告书》应当重新审核。</w:t>
      </w:r>
    </w:p>
    <w:p w14:paraId="72D455AA">
      <w:pPr>
        <w:ind w:firstLine="636" w:firstLineChars="200"/>
        <w:rPr>
          <w:rFonts w:eastAsia="仿宋"/>
        </w:rPr>
      </w:pPr>
    </w:p>
    <w:p w14:paraId="69662CCC">
      <w:pPr>
        <w:ind w:firstLine="636" w:firstLineChars="200"/>
      </w:pPr>
    </w:p>
    <w:p w14:paraId="773E6376">
      <w:pPr>
        <w:autoSpaceDE w:val="0"/>
        <w:autoSpaceDN w:val="0"/>
        <w:adjustRightInd w:val="0"/>
        <w:ind w:right="1272" w:rightChars="400" w:firstLine="5088" w:firstLineChars="1600"/>
        <w:rPr>
          <w:rFonts w:eastAsia="仿宋"/>
        </w:rPr>
      </w:pPr>
      <w:r>
        <w:rPr>
          <w:rFonts w:eastAsia="仿宋"/>
        </w:rPr>
        <w:t>鹤岗市生态环境局</w:t>
      </w:r>
    </w:p>
    <w:p w14:paraId="688E633F">
      <w:pPr>
        <w:autoSpaceDE w:val="0"/>
        <w:autoSpaceDN w:val="0"/>
        <w:adjustRightInd w:val="0"/>
        <w:ind w:right="1431" w:rightChars="450"/>
        <w:jc w:val="center"/>
      </w:pPr>
      <w:r>
        <w:rPr>
          <w:rFonts w:eastAsia="仿宋"/>
        </w:rPr>
        <w:t xml:space="preserve">                                 2025年9月1</w:t>
      </w:r>
      <w:r>
        <w:rPr>
          <w:rFonts w:hint="eastAsia" w:eastAsia="仿宋"/>
        </w:rPr>
        <w:t>8</w:t>
      </w:r>
      <w:r>
        <w:rPr>
          <w:rFonts w:eastAsia="仿宋"/>
        </w:rPr>
        <w:t>日</w:t>
      </w:r>
    </w:p>
    <w:p w14:paraId="3E77C17E">
      <w:pPr>
        <w:ind w:firstLine="636" w:firstLineChars="200"/>
        <w:rPr>
          <w:rFonts w:eastAsia="仿宋"/>
        </w:rPr>
      </w:pPr>
    </w:p>
    <w:p w14:paraId="26914ED0">
      <w:pPr>
        <w:ind w:firstLine="636" w:firstLineChars="200"/>
        <w:rPr>
          <w:rFonts w:ascii="Times New Roman" w:hAnsi="Times New Roman" w:eastAsia="仿宋" w:cs="Times New Roman"/>
        </w:rPr>
      </w:pPr>
    </w:p>
    <w:p w14:paraId="35497402">
      <w:pPr>
        <w:ind w:firstLine="636" w:firstLineChars="200"/>
        <w:rPr>
          <w:rFonts w:ascii="Times New Roman" w:hAnsi="Times New Roman" w:eastAsia="仿宋" w:cs="Times New Roman"/>
        </w:rPr>
      </w:pPr>
    </w:p>
    <w:p w14:paraId="502A032C">
      <w:pPr>
        <w:ind w:firstLine="636" w:firstLineChars="200"/>
        <w:rPr>
          <w:rFonts w:ascii="Times New Roman" w:hAnsi="Times New Roman" w:eastAsia="仿宋" w:cs="Times New Roman"/>
        </w:rPr>
      </w:pPr>
    </w:p>
    <w:p w14:paraId="7E23F2DD">
      <w:pPr>
        <w:ind w:firstLine="636" w:firstLineChars="200"/>
        <w:rPr>
          <w:rFonts w:ascii="Times New Roman" w:hAnsi="Times New Roman" w:eastAsia="仿宋" w:cs="Times New Roman"/>
        </w:rPr>
      </w:pPr>
    </w:p>
    <w:p w14:paraId="78176474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</w:t>
      </w:r>
      <w:r>
        <w:rPr>
          <w:rFonts w:hint="default"/>
          <w:sz w:val="28"/>
          <w:szCs w:val="28"/>
          <w:u w:val="single"/>
          <w:lang w:val="en-US"/>
        </w:rPr>
        <w:t xml:space="preserve">        </w:t>
      </w:r>
      <w:r>
        <w:rPr>
          <w:sz w:val="28"/>
          <w:szCs w:val="28"/>
          <w:u w:val="single"/>
        </w:rPr>
        <w:t xml:space="preserve">    </w:t>
      </w:r>
    </w:p>
    <w:p w14:paraId="54BE044E">
      <w:pPr>
        <w:pStyle w:val="24"/>
        <w:rPr>
          <w:rFonts w:ascii="Times New Roman" w:eastAsia="仿宋" w:cs="Times New Roman"/>
          <w:color w:val="auto"/>
          <w:sz w:val="28"/>
          <w:szCs w:val="28"/>
          <w:u w:val="single"/>
        </w:rPr>
      </w:pPr>
      <w:r>
        <w:rPr>
          <w:rFonts w:ascii="Times New Roman" w:eastAsia="仿宋" w:cs="Times New Roman"/>
          <w:color w:val="auto"/>
          <w:sz w:val="28"/>
          <w:szCs w:val="28"/>
          <w:u w:val="single"/>
        </w:rPr>
        <w:t xml:space="preserve">  抄送：鹤岗市生态环境保护综合</w:t>
      </w:r>
      <w:r>
        <w:rPr>
          <w:rFonts w:hint="eastAsia" w:ascii="Times New Roman" w:eastAsia="仿宋" w:cs="Times New Roman"/>
          <w:color w:val="auto"/>
          <w:sz w:val="28"/>
          <w:szCs w:val="28"/>
          <w:u w:val="single"/>
          <w:lang w:eastAsia="zh-CN"/>
        </w:rPr>
        <w:t>行政</w:t>
      </w:r>
      <w:r>
        <w:rPr>
          <w:rFonts w:ascii="Times New Roman" w:eastAsia="仿宋" w:cs="Times New Roman"/>
          <w:color w:val="auto"/>
          <w:sz w:val="28"/>
          <w:szCs w:val="28"/>
          <w:u w:val="single"/>
        </w:rPr>
        <w:t xml:space="preserve">执法局              </w:t>
      </w:r>
      <w:r>
        <w:rPr>
          <w:rFonts w:hint="default" w:ascii="Times New Roman" w:eastAsia="仿宋" w:cs="Times New Roman"/>
          <w:color w:val="auto"/>
          <w:sz w:val="28"/>
          <w:szCs w:val="28"/>
          <w:u w:val="single"/>
          <w:lang w:val="en-US"/>
        </w:rPr>
        <w:t xml:space="preserve">        </w:t>
      </w:r>
      <w:r>
        <w:rPr>
          <w:rFonts w:ascii="Times New Roman" w:eastAsia="仿宋" w:cs="Times New Roman"/>
          <w:color w:val="auto"/>
          <w:sz w:val="28"/>
          <w:szCs w:val="28"/>
          <w:u w:val="single"/>
        </w:rPr>
        <w:t xml:space="preserve">  </w:t>
      </w:r>
    </w:p>
    <w:p w14:paraId="586340A2">
      <w:pPr>
        <w:pStyle w:val="24"/>
        <w:rPr>
          <w:rFonts w:ascii="Times New Roman" w:eastAsia="仿宋" w:cs="Times New Roman"/>
          <w:color w:val="auto"/>
          <w:sz w:val="28"/>
          <w:szCs w:val="28"/>
        </w:rPr>
      </w:pPr>
      <w:r>
        <w:rPr>
          <w:rFonts w:ascii="Times New Roman" w:eastAsia="仿宋" w:cs="Times New Roman"/>
          <w:color w:val="auto"/>
          <w:sz w:val="28"/>
          <w:szCs w:val="28"/>
          <w:u w:val="single"/>
        </w:rPr>
        <w:t xml:space="preserve">  鹤岗市生态环境局办公室      </w:t>
      </w:r>
      <w:r>
        <w:rPr>
          <w:rFonts w:hint="default" w:ascii="Times New Roman" w:eastAsia="仿宋" w:cs="Times New Roman"/>
          <w:color w:val="auto"/>
          <w:sz w:val="28"/>
          <w:szCs w:val="28"/>
          <w:u w:val="single"/>
          <w:lang w:val="en-US"/>
        </w:rPr>
        <w:t xml:space="preserve">       </w:t>
      </w:r>
      <w:r>
        <w:rPr>
          <w:rFonts w:ascii="Times New Roman" w:eastAsia="仿宋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eastAsia="仿宋" w:cs="Times New Roman"/>
          <w:color w:val="auto"/>
          <w:sz w:val="28"/>
          <w:szCs w:val="28"/>
          <w:u w:val="single"/>
          <w:lang w:val="en-US"/>
        </w:rPr>
        <w:t xml:space="preserve"> </w:t>
      </w:r>
      <w:r>
        <w:rPr>
          <w:rFonts w:ascii="Times New Roman" w:eastAsia="仿宋" w:cs="Times New Roman"/>
          <w:color w:val="auto"/>
          <w:sz w:val="28"/>
          <w:szCs w:val="28"/>
          <w:u w:val="single"/>
        </w:rPr>
        <w:t>2025年</w:t>
      </w:r>
      <w:bookmarkStart w:id="0" w:name="_GoBack"/>
      <w:bookmarkEnd w:id="0"/>
      <w:r>
        <w:rPr>
          <w:rFonts w:ascii="Times New Roman" w:eastAsia="仿宋" w:cs="Times New Roman"/>
          <w:color w:val="auto"/>
          <w:sz w:val="28"/>
          <w:szCs w:val="28"/>
          <w:u w:val="single"/>
        </w:rPr>
        <w:t>9月1</w:t>
      </w:r>
      <w:r>
        <w:rPr>
          <w:rFonts w:hint="eastAsia" w:ascii="Times New Roman" w:eastAsia="仿宋" w:cs="Times New Roman"/>
          <w:color w:val="auto"/>
          <w:sz w:val="28"/>
          <w:szCs w:val="28"/>
          <w:u w:val="single"/>
        </w:rPr>
        <w:t>8</w:t>
      </w:r>
      <w:r>
        <w:rPr>
          <w:rFonts w:ascii="Times New Roman" w:eastAsia="仿宋" w:cs="Times New Roman"/>
          <w:color w:val="auto"/>
          <w:sz w:val="28"/>
          <w:szCs w:val="28"/>
          <w:u w:val="single"/>
        </w:rPr>
        <w:t xml:space="preserve">日印发   </w:t>
      </w:r>
    </w:p>
    <w:sectPr>
      <w:footerReference r:id="rId3" w:type="default"/>
      <w:footerReference r:id="rId4" w:type="even"/>
      <w:pgSz w:w="11906" w:h="16838"/>
      <w:pgMar w:top="2098" w:right="1418" w:bottom="1701" w:left="1588" w:header="851" w:footer="992" w:gutter="0"/>
      <w:cols w:space="720" w:num="1"/>
      <w:titlePg/>
      <w:docGrid w:type="linesAndChars" w:linePitch="59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8E042E-9AEC-4E84-A99E-7F1CC9081D4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03455AA-6611-4C7E-BE3D-3CB12FEABFC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B18CB86-D91E-4158-AA4F-89FB5B72C6B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0356981-5190-43B3-AC01-894DB88A46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7E7E1">
    <w:pPr>
      <w:pStyle w:val="9"/>
      <w:ind w:right="360" w:firstLine="36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27EFC">
                          <w:pPr>
                            <w:pStyle w:val="9"/>
                            <w:ind w:right="360" w:firstLine="360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OepaY8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927EFC">
                    <w:pPr>
                      <w:pStyle w:val="9"/>
                      <w:ind w:right="360" w:firstLine="360"/>
                      <w:jc w:val="right"/>
                    </w:pP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DE4EE">
    <w:pPr>
      <w:pStyle w:val="9"/>
      <w:ind w:right="360" w:firstLine="36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D6361">
                          <w:pPr>
                            <w:pStyle w:val="9"/>
                            <w:ind w:right="360" w:firstLine="360"/>
                          </w:pPr>
                          <w:r>
                            <w:rPr>
                              <w:rStyle w:val="19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>6</w:t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3RzcIBAACN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JiPXgPDukLBw6SejjlBTMZxSYTRtVF6DP+8l6+kv2v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Lyt0c3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4D6361">
                    <w:pPr>
                      <w:pStyle w:val="9"/>
                      <w:ind w:right="360" w:firstLine="360"/>
                    </w:pPr>
                    <w:r>
                      <w:rPr>
                        <w:rStyle w:val="19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 xml:space="preserve">- </w:t>
                    </w:r>
                    <w:r>
                      <w:rPr>
                        <w:rStyle w:val="19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begin"/>
                    </w:r>
                    <w:r>
                      <w:rPr>
                        <w:rStyle w:val="19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instrText xml:space="preserve"> PAGE </w:instrText>
                    </w:r>
                    <w:r>
                      <w:rPr>
                        <w:rStyle w:val="19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separate"/>
                    </w:r>
                    <w:r>
                      <w:rPr>
                        <w:rStyle w:val="19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>6</w:t>
                    </w:r>
                    <w:r>
                      <w:rPr>
                        <w:rStyle w:val="19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end"/>
                    </w:r>
                    <w:r>
                      <w:rPr>
                        <w:rStyle w:val="19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9"/>
  <w:drawingGridVerticalSpacing w:val="29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ODJjZjJlYmVhYTFjNjg1OWUzOTExYWZkNTI1ZjMifQ=="/>
    <w:docVar w:name="KSO_WPS_MARK_KEY" w:val="8ebc9316-42e1-4342-8c4d-0de413dd599d"/>
  </w:docVars>
  <w:rsids>
    <w:rsidRoot w:val="04D4373D"/>
    <w:rsid w:val="0001111E"/>
    <w:rsid w:val="000260D9"/>
    <w:rsid w:val="00045946"/>
    <w:rsid w:val="00046341"/>
    <w:rsid w:val="00046530"/>
    <w:rsid w:val="00046EB5"/>
    <w:rsid w:val="000530DA"/>
    <w:rsid w:val="00074043"/>
    <w:rsid w:val="0008343C"/>
    <w:rsid w:val="00092D90"/>
    <w:rsid w:val="00093245"/>
    <w:rsid w:val="00094BAD"/>
    <w:rsid w:val="000D5D03"/>
    <w:rsid w:val="000E76FE"/>
    <w:rsid w:val="000F585B"/>
    <w:rsid w:val="00113C81"/>
    <w:rsid w:val="00115013"/>
    <w:rsid w:val="001157AF"/>
    <w:rsid w:val="00122F4F"/>
    <w:rsid w:val="00126E42"/>
    <w:rsid w:val="00141313"/>
    <w:rsid w:val="00143D78"/>
    <w:rsid w:val="001629EA"/>
    <w:rsid w:val="001814FD"/>
    <w:rsid w:val="001A58ED"/>
    <w:rsid w:val="001A7342"/>
    <w:rsid w:val="001C34AA"/>
    <w:rsid w:val="001D41CE"/>
    <w:rsid w:val="001E1A93"/>
    <w:rsid w:val="001F650D"/>
    <w:rsid w:val="002008CF"/>
    <w:rsid w:val="00202FE1"/>
    <w:rsid w:val="002162E7"/>
    <w:rsid w:val="00222774"/>
    <w:rsid w:val="00226A1E"/>
    <w:rsid w:val="002340AA"/>
    <w:rsid w:val="00245F60"/>
    <w:rsid w:val="00260177"/>
    <w:rsid w:val="002614CD"/>
    <w:rsid w:val="00270D96"/>
    <w:rsid w:val="00274FFC"/>
    <w:rsid w:val="00294F4D"/>
    <w:rsid w:val="002B2BE6"/>
    <w:rsid w:val="002B665E"/>
    <w:rsid w:val="002C33A5"/>
    <w:rsid w:val="003019A4"/>
    <w:rsid w:val="00315281"/>
    <w:rsid w:val="00315F3E"/>
    <w:rsid w:val="00321A12"/>
    <w:rsid w:val="00343A5F"/>
    <w:rsid w:val="003474B1"/>
    <w:rsid w:val="0035243E"/>
    <w:rsid w:val="0036242A"/>
    <w:rsid w:val="003721DC"/>
    <w:rsid w:val="00374294"/>
    <w:rsid w:val="003826DD"/>
    <w:rsid w:val="00387211"/>
    <w:rsid w:val="00387813"/>
    <w:rsid w:val="00396A08"/>
    <w:rsid w:val="003C0881"/>
    <w:rsid w:val="003D5A1B"/>
    <w:rsid w:val="003D71C9"/>
    <w:rsid w:val="003F2664"/>
    <w:rsid w:val="00417872"/>
    <w:rsid w:val="00442A90"/>
    <w:rsid w:val="004511F0"/>
    <w:rsid w:val="00454BB7"/>
    <w:rsid w:val="0047114D"/>
    <w:rsid w:val="00475165"/>
    <w:rsid w:val="004819C5"/>
    <w:rsid w:val="004876D9"/>
    <w:rsid w:val="00492D3C"/>
    <w:rsid w:val="0049303C"/>
    <w:rsid w:val="004A5717"/>
    <w:rsid w:val="004B209A"/>
    <w:rsid w:val="004D00F6"/>
    <w:rsid w:val="004F6A8F"/>
    <w:rsid w:val="005107B8"/>
    <w:rsid w:val="005237D5"/>
    <w:rsid w:val="00531029"/>
    <w:rsid w:val="00531C53"/>
    <w:rsid w:val="00547C7B"/>
    <w:rsid w:val="00563517"/>
    <w:rsid w:val="00593C50"/>
    <w:rsid w:val="00595CEE"/>
    <w:rsid w:val="005A7510"/>
    <w:rsid w:val="005B1A60"/>
    <w:rsid w:val="005D5DF7"/>
    <w:rsid w:val="005F481F"/>
    <w:rsid w:val="00602D0F"/>
    <w:rsid w:val="006113F3"/>
    <w:rsid w:val="00623798"/>
    <w:rsid w:val="00631BE7"/>
    <w:rsid w:val="006409A7"/>
    <w:rsid w:val="00663D39"/>
    <w:rsid w:val="00681CB7"/>
    <w:rsid w:val="006A0590"/>
    <w:rsid w:val="006A25F8"/>
    <w:rsid w:val="006B619E"/>
    <w:rsid w:val="006C0E15"/>
    <w:rsid w:val="006C1BA6"/>
    <w:rsid w:val="006E757E"/>
    <w:rsid w:val="006F33B4"/>
    <w:rsid w:val="00701921"/>
    <w:rsid w:val="007029D4"/>
    <w:rsid w:val="00706933"/>
    <w:rsid w:val="00707948"/>
    <w:rsid w:val="00716EF0"/>
    <w:rsid w:val="0073011F"/>
    <w:rsid w:val="00764A0C"/>
    <w:rsid w:val="007712BA"/>
    <w:rsid w:val="007A3C09"/>
    <w:rsid w:val="007B7582"/>
    <w:rsid w:val="007E2289"/>
    <w:rsid w:val="007E4646"/>
    <w:rsid w:val="007F7B42"/>
    <w:rsid w:val="00810DB7"/>
    <w:rsid w:val="00830CF4"/>
    <w:rsid w:val="00834EB9"/>
    <w:rsid w:val="008B382B"/>
    <w:rsid w:val="008C5C47"/>
    <w:rsid w:val="008D77E0"/>
    <w:rsid w:val="008E19F9"/>
    <w:rsid w:val="008E4717"/>
    <w:rsid w:val="008E6258"/>
    <w:rsid w:val="008E6988"/>
    <w:rsid w:val="008E7FC9"/>
    <w:rsid w:val="009173B7"/>
    <w:rsid w:val="009235CB"/>
    <w:rsid w:val="009518D0"/>
    <w:rsid w:val="00954931"/>
    <w:rsid w:val="00963E6F"/>
    <w:rsid w:val="00967F4B"/>
    <w:rsid w:val="0097618F"/>
    <w:rsid w:val="00983E24"/>
    <w:rsid w:val="009B2E15"/>
    <w:rsid w:val="009B6860"/>
    <w:rsid w:val="009B6EC2"/>
    <w:rsid w:val="009C512B"/>
    <w:rsid w:val="00A156F2"/>
    <w:rsid w:val="00A26496"/>
    <w:rsid w:val="00A276EA"/>
    <w:rsid w:val="00A470AD"/>
    <w:rsid w:val="00A56C33"/>
    <w:rsid w:val="00A70876"/>
    <w:rsid w:val="00A7382E"/>
    <w:rsid w:val="00A8321F"/>
    <w:rsid w:val="00A83D28"/>
    <w:rsid w:val="00A87461"/>
    <w:rsid w:val="00A87D12"/>
    <w:rsid w:val="00A920F4"/>
    <w:rsid w:val="00A94552"/>
    <w:rsid w:val="00A9554C"/>
    <w:rsid w:val="00AA0923"/>
    <w:rsid w:val="00AB38B2"/>
    <w:rsid w:val="00AC5248"/>
    <w:rsid w:val="00AD037F"/>
    <w:rsid w:val="00AD2A27"/>
    <w:rsid w:val="00AD7338"/>
    <w:rsid w:val="00AE17CE"/>
    <w:rsid w:val="00AF295C"/>
    <w:rsid w:val="00AF3C49"/>
    <w:rsid w:val="00B13741"/>
    <w:rsid w:val="00B24D82"/>
    <w:rsid w:val="00B2560C"/>
    <w:rsid w:val="00B31218"/>
    <w:rsid w:val="00B32B65"/>
    <w:rsid w:val="00B57649"/>
    <w:rsid w:val="00B81083"/>
    <w:rsid w:val="00B95B77"/>
    <w:rsid w:val="00BB0975"/>
    <w:rsid w:val="00BB7B3C"/>
    <w:rsid w:val="00BD007D"/>
    <w:rsid w:val="00BD0D4E"/>
    <w:rsid w:val="00BD313F"/>
    <w:rsid w:val="00BE2ABE"/>
    <w:rsid w:val="00BE5560"/>
    <w:rsid w:val="00BF51AB"/>
    <w:rsid w:val="00C01344"/>
    <w:rsid w:val="00C25F66"/>
    <w:rsid w:val="00C50692"/>
    <w:rsid w:val="00C537C4"/>
    <w:rsid w:val="00C7083A"/>
    <w:rsid w:val="00C917A9"/>
    <w:rsid w:val="00C962F6"/>
    <w:rsid w:val="00CA1258"/>
    <w:rsid w:val="00CB15D8"/>
    <w:rsid w:val="00CC25D6"/>
    <w:rsid w:val="00CF4BFB"/>
    <w:rsid w:val="00D02FE8"/>
    <w:rsid w:val="00D45915"/>
    <w:rsid w:val="00D506FD"/>
    <w:rsid w:val="00D72A29"/>
    <w:rsid w:val="00D822A2"/>
    <w:rsid w:val="00D86F2E"/>
    <w:rsid w:val="00D9102A"/>
    <w:rsid w:val="00DA1968"/>
    <w:rsid w:val="00DB1DC1"/>
    <w:rsid w:val="00DC3912"/>
    <w:rsid w:val="00DD0EBF"/>
    <w:rsid w:val="00DD7CA4"/>
    <w:rsid w:val="00DE0384"/>
    <w:rsid w:val="00DE2A2C"/>
    <w:rsid w:val="00DF641D"/>
    <w:rsid w:val="00E02E6D"/>
    <w:rsid w:val="00E156EB"/>
    <w:rsid w:val="00E32629"/>
    <w:rsid w:val="00E365B5"/>
    <w:rsid w:val="00E61F98"/>
    <w:rsid w:val="00E678BC"/>
    <w:rsid w:val="00E73AEA"/>
    <w:rsid w:val="00E74BFF"/>
    <w:rsid w:val="00E75589"/>
    <w:rsid w:val="00E75D5A"/>
    <w:rsid w:val="00E80100"/>
    <w:rsid w:val="00E94117"/>
    <w:rsid w:val="00E94B70"/>
    <w:rsid w:val="00EA0B82"/>
    <w:rsid w:val="00EA37A2"/>
    <w:rsid w:val="00EC71B7"/>
    <w:rsid w:val="00ED54AF"/>
    <w:rsid w:val="00EE04C3"/>
    <w:rsid w:val="00F1516E"/>
    <w:rsid w:val="00F208F5"/>
    <w:rsid w:val="00F267DA"/>
    <w:rsid w:val="00F3447F"/>
    <w:rsid w:val="00F52E5B"/>
    <w:rsid w:val="00F607CD"/>
    <w:rsid w:val="00F62EAB"/>
    <w:rsid w:val="00F947B1"/>
    <w:rsid w:val="00FC3039"/>
    <w:rsid w:val="00FD4999"/>
    <w:rsid w:val="00FE3333"/>
    <w:rsid w:val="00FE6283"/>
    <w:rsid w:val="00FF387A"/>
    <w:rsid w:val="0176597C"/>
    <w:rsid w:val="0204567E"/>
    <w:rsid w:val="02104022"/>
    <w:rsid w:val="02746BAB"/>
    <w:rsid w:val="038827BB"/>
    <w:rsid w:val="03990047"/>
    <w:rsid w:val="03993BA4"/>
    <w:rsid w:val="0453580C"/>
    <w:rsid w:val="049050FF"/>
    <w:rsid w:val="04D4373D"/>
    <w:rsid w:val="05047477"/>
    <w:rsid w:val="05047743"/>
    <w:rsid w:val="051F459A"/>
    <w:rsid w:val="05557E7B"/>
    <w:rsid w:val="05721DB6"/>
    <w:rsid w:val="05A056BD"/>
    <w:rsid w:val="05F34089"/>
    <w:rsid w:val="061E7D1D"/>
    <w:rsid w:val="06FD22CC"/>
    <w:rsid w:val="070C68A4"/>
    <w:rsid w:val="07726BE5"/>
    <w:rsid w:val="07822424"/>
    <w:rsid w:val="07A20C76"/>
    <w:rsid w:val="08004547"/>
    <w:rsid w:val="08170E80"/>
    <w:rsid w:val="086C4A85"/>
    <w:rsid w:val="087C361B"/>
    <w:rsid w:val="08AF79C5"/>
    <w:rsid w:val="08CE609D"/>
    <w:rsid w:val="08F74B15"/>
    <w:rsid w:val="09896468"/>
    <w:rsid w:val="09972933"/>
    <w:rsid w:val="09DD6F83"/>
    <w:rsid w:val="09F63AFE"/>
    <w:rsid w:val="0A026946"/>
    <w:rsid w:val="0A1026E6"/>
    <w:rsid w:val="0A5E7A20"/>
    <w:rsid w:val="0AA01CBB"/>
    <w:rsid w:val="0AAA48E8"/>
    <w:rsid w:val="0AD6392F"/>
    <w:rsid w:val="0ADE5034"/>
    <w:rsid w:val="0B204BAA"/>
    <w:rsid w:val="0B353CEA"/>
    <w:rsid w:val="0B5D7E1C"/>
    <w:rsid w:val="0B953AA9"/>
    <w:rsid w:val="0B9C7CB6"/>
    <w:rsid w:val="0BEF5615"/>
    <w:rsid w:val="0BFA53FB"/>
    <w:rsid w:val="0BFD01B5"/>
    <w:rsid w:val="0C37664F"/>
    <w:rsid w:val="0CCA7230"/>
    <w:rsid w:val="0D183D8B"/>
    <w:rsid w:val="0DE25BA1"/>
    <w:rsid w:val="0DEA5A2D"/>
    <w:rsid w:val="0E0A401C"/>
    <w:rsid w:val="0E2D7D0A"/>
    <w:rsid w:val="0E4057D4"/>
    <w:rsid w:val="0E483041"/>
    <w:rsid w:val="0E794CFD"/>
    <w:rsid w:val="0EA31D7A"/>
    <w:rsid w:val="0ED31318"/>
    <w:rsid w:val="0ED40186"/>
    <w:rsid w:val="0EEA4470"/>
    <w:rsid w:val="0F022F45"/>
    <w:rsid w:val="0F0E3698"/>
    <w:rsid w:val="0F637C9A"/>
    <w:rsid w:val="0F67754E"/>
    <w:rsid w:val="0FEB5787"/>
    <w:rsid w:val="0FFA1E6E"/>
    <w:rsid w:val="106E2027"/>
    <w:rsid w:val="10830848"/>
    <w:rsid w:val="10B14C22"/>
    <w:rsid w:val="10FB77B6"/>
    <w:rsid w:val="112F5B47"/>
    <w:rsid w:val="11360C84"/>
    <w:rsid w:val="12152E0E"/>
    <w:rsid w:val="121F3E0E"/>
    <w:rsid w:val="122136E2"/>
    <w:rsid w:val="12EA5237"/>
    <w:rsid w:val="13247BA2"/>
    <w:rsid w:val="137B1518"/>
    <w:rsid w:val="13A4281C"/>
    <w:rsid w:val="13AF47AA"/>
    <w:rsid w:val="13C54541"/>
    <w:rsid w:val="13C609E5"/>
    <w:rsid w:val="142A7EF5"/>
    <w:rsid w:val="145E4D9D"/>
    <w:rsid w:val="1461070D"/>
    <w:rsid w:val="14CD5DA3"/>
    <w:rsid w:val="155A25DD"/>
    <w:rsid w:val="15AA42C0"/>
    <w:rsid w:val="15D60D05"/>
    <w:rsid w:val="15DB004C"/>
    <w:rsid w:val="162A19E8"/>
    <w:rsid w:val="16870F53"/>
    <w:rsid w:val="169E4C25"/>
    <w:rsid w:val="16BE59A3"/>
    <w:rsid w:val="16DA0303"/>
    <w:rsid w:val="16FA64D1"/>
    <w:rsid w:val="1715128F"/>
    <w:rsid w:val="175D5335"/>
    <w:rsid w:val="17897594"/>
    <w:rsid w:val="17BB6387"/>
    <w:rsid w:val="182E4DAB"/>
    <w:rsid w:val="182F02A6"/>
    <w:rsid w:val="18453C06"/>
    <w:rsid w:val="18722EE9"/>
    <w:rsid w:val="18770500"/>
    <w:rsid w:val="189866C8"/>
    <w:rsid w:val="18EE62E8"/>
    <w:rsid w:val="19031D93"/>
    <w:rsid w:val="193F76FB"/>
    <w:rsid w:val="197467ED"/>
    <w:rsid w:val="19AB5B56"/>
    <w:rsid w:val="19AF7825"/>
    <w:rsid w:val="19B968F6"/>
    <w:rsid w:val="19D454DE"/>
    <w:rsid w:val="19DD6C02"/>
    <w:rsid w:val="19E82FAA"/>
    <w:rsid w:val="1A366198"/>
    <w:rsid w:val="1A635CBD"/>
    <w:rsid w:val="1A642D06"/>
    <w:rsid w:val="1A736AA5"/>
    <w:rsid w:val="1A7F18ED"/>
    <w:rsid w:val="1A8E5D71"/>
    <w:rsid w:val="1AA36A47"/>
    <w:rsid w:val="1AA55807"/>
    <w:rsid w:val="1AC23FF4"/>
    <w:rsid w:val="1AE166D7"/>
    <w:rsid w:val="1AFC2F3E"/>
    <w:rsid w:val="1B152FFB"/>
    <w:rsid w:val="1B1A1616"/>
    <w:rsid w:val="1B5932E2"/>
    <w:rsid w:val="1BB16DE5"/>
    <w:rsid w:val="1BB6133F"/>
    <w:rsid w:val="1BBC0C21"/>
    <w:rsid w:val="1BF2581B"/>
    <w:rsid w:val="1C154A61"/>
    <w:rsid w:val="1C3F5AF9"/>
    <w:rsid w:val="1CA426C6"/>
    <w:rsid w:val="1CBF5FD1"/>
    <w:rsid w:val="1CF919E9"/>
    <w:rsid w:val="1D540E0F"/>
    <w:rsid w:val="1DAF4B38"/>
    <w:rsid w:val="1DE07D6B"/>
    <w:rsid w:val="1E3B72C3"/>
    <w:rsid w:val="1E4C5F8A"/>
    <w:rsid w:val="1E9F2810"/>
    <w:rsid w:val="1F204D21"/>
    <w:rsid w:val="1F444EB4"/>
    <w:rsid w:val="1FB150B2"/>
    <w:rsid w:val="1FC43893"/>
    <w:rsid w:val="200D1101"/>
    <w:rsid w:val="202075C8"/>
    <w:rsid w:val="204E3A45"/>
    <w:rsid w:val="20895274"/>
    <w:rsid w:val="20DD54BB"/>
    <w:rsid w:val="20E16BB1"/>
    <w:rsid w:val="213F5933"/>
    <w:rsid w:val="21845A3B"/>
    <w:rsid w:val="21AF3D65"/>
    <w:rsid w:val="21C05F87"/>
    <w:rsid w:val="21CF3CFA"/>
    <w:rsid w:val="21E00964"/>
    <w:rsid w:val="21F11323"/>
    <w:rsid w:val="21F66939"/>
    <w:rsid w:val="22327245"/>
    <w:rsid w:val="224345D8"/>
    <w:rsid w:val="227E06DD"/>
    <w:rsid w:val="2281696D"/>
    <w:rsid w:val="22B42340"/>
    <w:rsid w:val="23971A56"/>
    <w:rsid w:val="23F4556C"/>
    <w:rsid w:val="24444F16"/>
    <w:rsid w:val="246D3963"/>
    <w:rsid w:val="24906390"/>
    <w:rsid w:val="24A81A41"/>
    <w:rsid w:val="24CF6FCD"/>
    <w:rsid w:val="25140E84"/>
    <w:rsid w:val="25A007B7"/>
    <w:rsid w:val="25D56865"/>
    <w:rsid w:val="265806C1"/>
    <w:rsid w:val="26675289"/>
    <w:rsid w:val="26740622"/>
    <w:rsid w:val="26AF355A"/>
    <w:rsid w:val="26C4679B"/>
    <w:rsid w:val="2702368A"/>
    <w:rsid w:val="27147861"/>
    <w:rsid w:val="27391565"/>
    <w:rsid w:val="274E68CF"/>
    <w:rsid w:val="27817354"/>
    <w:rsid w:val="27846872"/>
    <w:rsid w:val="27C54CBE"/>
    <w:rsid w:val="281F201A"/>
    <w:rsid w:val="28447ADD"/>
    <w:rsid w:val="28C8445F"/>
    <w:rsid w:val="28FB134B"/>
    <w:rsid w:val="29382CA5"/>
    <w:rsid w:val="296022B4"/>
    <w:rsid w:val="2961005D"/>
    <w:rsid w:val="296879F1"/>
    <w:rsid w:val="297665B1"/>
    <w:rsid w:val="297939AC"/>
    <w:rsid w:val="29EC23D0"/>
    <w:rsid w:val="29F77B83"/>
    <w:rsid w:val="2A0D1E04"/>
    <w:rsid w:val="2A524FC5"/>
    <w:rsid w:val="2A7725E1"/>
    <w:rsid w:val="2AA131BA"/>
    <w:rsid w:val="2ACC227C"/>
    <w:rsid w:val="2AD6263E"/>
    <w:rsid w:val="2B65243A"/>
    <w:rsid w:val="2B6640B7"/>
    <w:rsid w:val="2BC76C50"/>
    <w:rsid w:val="2C14554A"/>
    <w:rsid w:val="2C2D7EEF"/>
    <w:rsid w:val="2C4464F3"/>
    <w:rsid w:val="2D395873"/>
    <w:rsid w:val="2DB142C8"/>
    <w:rsid w:val="2DB15E0A"/>
    <w:rsid w:val="2E0F081B"/>
    <w:rsid w:val="2E492A00"/>
    <w:rsid w:val="2E4A4E66"/>
    <w:rsid w:val="2E5844D8"/>
    <w:rsid w:val="2E620EB2"/>
    <w:rsid w:val="2EF97A69"/>
    <w:rsid w:val="2F062BB5"/>
    <w:rsid w:val="2F103B63"/>
    <w:rsid w:val="2F4A7FA4"/>
    <w:rsid w:val="2F8D01B1"/>
    <w:rsid w:val="2F9E5130"/>
    <w:rsid w:val="2FAA0D63"/>
    <w:rsid w:val="30405223"/>
    <w:rsid w:val="307153DD"/>
    <w:rsid w:val="30826DBC"/>
    <w:rsid w:val="309C4B4F"/>
    <w:rsid w:val="309E4D64"/>
    <w:rsid w:val="30A9101A"/>
    <w:rsid w:val="30C365CE"/>
    <w:rsid w:val="30CE6CD3"/>
    <w:rsid w:val="310B75DF"/>
    <w:rsid w:val="31540F86"/>
    <w:rsid w:val="316E6914"/>
    <w:rsid w:val="31796C3F"/>
    <w:rsid w:val="31853515"/>
    <w:rsid w:val="31C3610C"/>
    <w:rsid w:val="31F75DB5"/>
    <w:rsid w:val="3264770D"/>
    <w:rsid w:val="327A02F8"/>
    <w:rsid w:val="32935ADE"/>
    <w:rsid w:val="329F4D04"/>
    <w:rsid w:val="33837901"/>
    <w:rsid w:val="340E48AD"/>
    <w:rsid w:val="34346E4D"/>
    <w:rsid w:val="34637732"/>
    <w:rsid w:val="34776692"/>
    <w:rsid w:val="350902DA"/>
    <w:rsid w:val="35584DBD"/>
    <w:rsid w:val="356C6F31"/>
    <w:rsid w:val="35810B4A"/>
    <w:rsid w:val="35917DCF"/>
    <w:rsid w:val="36222796"/>
    <w:rsid w:val="36833E7C"/>
    <w:rsid w:val="36A04C6E"/>
    <w:rsid w:val="373B04F2"/>
    <w:rsid w:val="37811163"/>
    <w:rsid w:val="37D05521"/>
    <w:rsid w:val="37EF12F0"/>
    <w:rsid w:val="380803DD"/>
    <w:rsid w:val="38531716"/>
    <w:rsid w:val="391D4354"/>
    <w:rsid w:val="39525C37"/>
    <w:rsid w:val="397F2258"/>
    <w:rsid w:val="39AC559E"/>
    <w:rsid w:val="39F8112F"/>
    <w:rsid w:val="3A066B7D"/>
    <w:rsid w:val="3A592FEA"/>
    <w:rsid w:val="3A593C39"/>
    <w:rsid w:val="3AC56A51"/>
    <w:rsid w:val="3AD73BAB"/>
    <w:rsid w:val="3B1802ED"/>
    <w:rsid w:val="3B385475"/>
    <w:rsid w:val="3C02543A"/>
    <w:rsid w:val="3C1275F2"/>
    <w:rsid w:val="3C5F6722"/>
    <w:rsid w:val="3C636521"/>
    <w:rsid w:val="3CCD5525"/>
    <w:rsid w:val="3CE63FEE"/>
    <w:rsid w:val="3D3D6D72"/>
    <w:rsid w:val="3D9170BE"/>
    <w:rsid w:val="3DC6320C"/>
    <w:rsid w:val="3E063608"/>
    <w:rsid w:val="3E412892"/>
    <w:rsid w:val="3E8246A6"/>
    <w:rsid w:val="3E8B6203"/>
    <w:rsid w:val="3E9254E9"/>
    <w:rsid w:val="3E9B4378"/>
    <w:rsid w:val="3E9C5D1B"/>
    <w:rsid w:val="3ECD7501"/>
    <w:rsid w:val="3F152A8D"/>
    <w:rsid w:val="3F426DA7"/>
    <w:rsid w:val="3F4940F4"/>
    <w:rsid w:val="3F9115F7"/>
    <w:rsid w:val="3FBD063E"/>
    <w:rsid w:val="3FC83F84"/>
    <w:rsid w:val="3FF335F9"/>
    <w:rsid w:val="3FFB4CC3"/>
    <w:rsid w:val="40230997"/>
    <w:rsid w:val="40307062"/>
    <w:rsid w:val="411D5025"/>
    <w:rsid w:val="415E1D4E"/>
    <w:rsid w:val="41BF069E"/>
    <w:rsid w:val="41CA7043"/>
    <w:rsid w:val="41EA1493"/>
    <w:rsid w:val="420E7F0F"/>
    <w:rsid w:val="4230127B"/>
    <w:rsid w:val="42332AFF"/>
    <w:rsid w:val="42A23F97"/>
    <w:rsid w:val="42F04887"/>
    <w:rsid w:val="431C15B7"/>
    <w:rsid w:val="432A7D99"/>
    <w:rsid w:val="43544E16"/>
    <w:rsid w:val="4356591B"/>
    <w:rsid w:val="43AE4775"/>
    <w:rsid w:val="43D1290A"/>
    <w:rsid w:val="445D419E"/>
    <w:rsid w:val="446A6A62"/>
    <w:rsid w:val="44731FFA"/>
    <w:rsid w:val="44C77869"/>
    <w:rsid w:val="44CC6C2E"/>
    <w:rsid w:val="451D2CC3"/>
    <w:rsid w:val="4541761C"/>
    <w:rsid w:val="454B20CD"/>
    <w:rsid w:val="456F6138"/>
    <w:rsid w:val="45703A5D"/>
    <w:rsid w:val="45BC6CA2"/>
    <w:rsid w:val="45DE130F"/>
    <w:rsid w:val="461F178B"/>
    <w:rsid w:val="46523B3D"/>
    <w:rsid w:val="465A58D2"/>
    <w:rsid w:val="46630064"/>
    <w:rsid w:val="46641814"/>
    <w:rsid w:val="467852BF"/>
    <w:rsid w:val="46F457D9"/>
    <w:rsid w:val="46F54270"/>
    <w:rsid w:val="472356EA"/>
    <w:rsid w:val="477723DE"/>
    <w:rsid w:val="477C0DDF"/>
    <w:rsid w:val="477D241F"/>
    <w:rsid w:val="47AD3C75"/>
    <w:rsid w:val="47DC362C"/>
    <w:rsid w:val="47EB6325"/>
    <w:rsid w:val="48742855"/>
    <w:rsid w:val="48A91760"/>
    <w:rsid w:val="49CD76D0"/>
    <w:rsid w:val="4A03390B"/>
    <w:rsid w:val="4A737E5A"/>
    <w:rsid w:val="4A7E6C1C"/>
    <w:rsid w:val="4AD3350B"/>
    <w:rsid w:val="4B5B1C30"/>
    <w:rsid w:val="4B751DCD"/>
    <w:rsid w:val="4BE551A5"/>
    <w:rsid w:val="4C0C69B9"/>
    <w:rsid w:val="4C3B41F0"/>
    <w:rsid w:val="4C7E4FE3"/>
    <w:rsid w:val="4C9D42BA"/>
    <w:rsid w:val="4CC0176E"/>
    <w:rsid w:val="4CD11285"/>
    <w:rsid w:val="4CFB3D3F"/>
    <w:rsid w:val="4D3006A2"/>
    <w:rsid w:val="4DC91768"/>
    <w:rsid w:val="4DE046EE"/>
    <w:rsid w:val="4E832A53"/>
    <w:rsid w:val="4ED542E0"/>
    <w:rsid w:val="4F2A14D9"/>
    <w:rsid w:val="4F5E6588"/>
    <w:rsid w:val="4F797EA5"/>
    <w:rsid w:val="4F7F146C"/>
    <w:rsid w:val="500E7477"/>
    <w:rsid w:val="50120532"/>
    <w:rsid w:val="50974594"/>
    <w:rsid w:val="51627BA7"/>
    <w:rsid w:val="51CB46D7"/>
    <w:rsid w:val="5268443A"/>
    <w:rsid w:val="5283236A"/>
    <w:rsid w:val="529C40E3"/>
    <w:rsid w:val="52D65847"/>
    <w:rsid w:val="52DB2E5E"/>
    <w:rsid w:val="536D37BA"/>
    <w:rsid w:val="53A5346C"/>
    <w:rsid w:val="53B4545D"/>
    <w:rsid w:val="53D14261"/>
    <w:rsid w:val="53F02939"/>
    <w:rsid w:val="540041D6"/>
    <w:rsid w:val="54322F51"/>
    <w:rsid w:val="545F207B"/>
    <w:rsid w:val="54A8797E"/>
    <w:rsid w:val="55083CB2"/>
    <w:rsid w:val="5560764A"/>
    <w:rsid w:val="55CC1183"/>
    <w:rsid w:val="56024E9F"/>
    <w:rsid w:val="562E70CC"/>
    <w:rsid w:val="568D0913"/>
    <w:rsid w:val="568F468B"/>
    <w:rsid w:val="569C2885"/>
    <w:rsid w:val="569D0B54"/>
    <w:rsid w:val="56BF65F2"/>
    <w:rsid w:val="56DA4920"/>
    <w:rsid w:val="57626946"/>
    <w:rsid w:val="579022DB"/>
    <w:rsid w:val="580A3E39"/>
    <w:rsid w:val="58144E4D"/>
    <w:rsid w:val="583C7BCE"/>
    <w:rsid w:val="589C308F"/>
    <w:rsid w:val="58B54151"/>
    <w:rsid w:val="59360D56"/>
    <w:rsid w:val="596671F9"/>
    <w:rsid w:val="59B62A03"/>
    <w:rsid w:val="59D86349"/>
    <w:rsid w:val="5ABB5323"/>
    <w:rsid w:val="5ABE35D2"/>
    <w:rsid w:val="5AC33ACC"/>
    <w:rsid w:val="5B7824FF"/>
    <w:rsid w:val="5B9938B6"/>
    <w:rsid w:val="5C433822"/>
    <w:rsid w:val="5CDB40AA"/>
    <w:rsid w:val="5CE15514"/>
    <w:rsid w:val="5CEC0183"/>
    <w:rsid w:val="5CF039A9"/>
    <w:rsid w:val="5CFF5308"/>
    <w:rsid w:val="5D8A5BAC"/>
    <w:rsid w:val="5DAA635A"/>
    <w:rsid w:val="5DB93D9B"/>
    <w:rsid w:val="5DBF70F0"/>
    <w:rsid w:val="5E4C3712"/>
    <w:rsid w:val="5E8C5954"/>
    <w:rsid w:val="5E9B5B97"/>
    <w:rsid w:val="5F066A42"/>
    <w:rsid w:val="5F507610"/>
    <w:rsid w:val="5F5C0237"/>
    <w:rsid w:val="5FD140AE"/>
    <w:rsid w:val="600E4496"/>
    <w:rsid w:val="602D1570"/>
    <w:rsid w:val="604F09E7"/>
    <w:rsid w:val="607D5554"/>
    <w:rsid w:val="60C018E5"/>
    <w:rsid w:val="60F2549E"/>
    <w:rsid w:val="60FA0DBC"/>
    <w:rsid w:val="611A0CDF"/>
    <w:rsid w:val="61226487"/>
    <w:rsid w:val="616B39BC"/>
    <w:rsid w:val="61856F4B"/>
    <w:rsid w:val="61BF4E97"/>
    <w:rsid w:val="621C430B"/>
    <w:rsid w:val="62277B4D"/>
    <w:rsid w:val="62B729D3"/>
    <w:rsid w:val="62F53AC8"/>
    <w:rsid w:val="6318012F"/>
    <w:rsid w:val="63273E9D"/>
    <w:rsid w:val="637B7D03"/>
    <w:rsid w:val="63AA7818"/>
    <w:rsid w:val="64432611"/>
    <w:rsid w:val="64724786"/>
    <w:rsid w:val="64C73242"/>
    <w:rsid w:val="65152165"/>
    <w:rsid w:val="65554CF2"/>
    <w:rsid w:val="657A6506"/>
    <w:rsid w:val="658D7E7B"/>
    <w:rsid w:val="65A11CE5"/>
    <w:rsid w:val="65E122AF"/>
    <w:rsid w:val="66134F89"/>
    <w:rsid w:val="66613222"/>
    <w:rsid w:val="669C06FE"/>
    <w:rsid w:val="669E79CB"/>
    <w:rsid w:val="66C04FAC"/>
    <w:rsid w:val="66E83770"/>
    <w:rsid w:val="67185FD7"/>
    <w:rsid w:val="678C42CF"/>
    <w:rsid w:val="67BD3643"/>
    <w:rsid w:val="67C1041C"/>
    <w:rsid w:val="67E90825"/>
    <w:rsid w:val="68016A6B"/>
    <w:rsid w:val="6837462A"/>
    <w:rsid w:val="68EC15C7"/>
    <w:rsid w:val="69002BC8"/>
    <w:rsid w:val="6905514C"/>
    <w:rsid w:val="69951B60"/>
    <w:rsid w:val="69A17E26"/>
    <w:rsid w:val="69EC54F9"/>
    <w:rsid w:val="6A6B28C1"/>
    <w:rsid w:val="6B15282D"/>
    <w:rsid w:val="6B5131AB"/>
    <w:rsid w:val="6B5C220A"/>
    <w:rsid w:val="6B5E2426"/>
    <w:rsid w:val="6BDF302E"/>
    <w:rsid w:val="6CA976D1"/>
    <w:rsid w:val="6CD87E10"/>
    <w:rsid w:val="6D022E5D"/>
    <w:rsid w:val="6D3F07B7"/>
    <w:rsid w:val="6D4A4A10"/>
    <w:rsid w:val="6D5812D3"/>
    <w:rsid w:val="6D5E1D6B"/>
    <w:rsid w:val="6D8F68C7"/>
    <w:rsid w:val="6DCC3677"/>
    <w:rsid w:val="6DFA4688"/>
    <w:rsid w:val="6DFE2388"/>
    <w:rsid w:val="6E535B46"/>
    <w:rsid w:val="6E8D2F0F"/>
    <w:rsid w:val="6E920CE8"/>
    <w:rsid w:val="6E963C85"/>
    <w:rsid w:val="6E97346F"/>
    <w:rsid w:val="6EC737DF"/>
    <w:rsid w:val="6EDC5B3C"/>
    <w:rsid w:val="6EEF4207"/>
    <w:rsid w:val="6FEF5BAA"/>
    <w:rsid w:val="704C4F43"/>
    <w:rsid w:val="70CB2F29"/>
    <w:rsid w:val="70F80C27"/>
    <w:rsid w:val="7104137A"/>
    <w:rsid w:val="716B764B"/>
    <w:rsid w:val="717F71A8"/>
    <w:rsid w:val="72152FA4"/>
    <w:rsid w:val="729C0195"/>
    <w:rsid w:val="72A17E94"/>
    <w:rsid w:val="72D31EF4"/>
    <w:rsid w:val="72ED47BB"/>
    <w:rsid w:val="732C6966"/>
    <w:rsid w:val="734939BC"/>
    <w:rsid w:val="738E13CF"/>
    <w:rsid w:val="73B40E35"/>
    <w:rsid w:val="73DE2937"/>
    <w:rsid w:val="73E07E7C"/>
    <w:rsid w:val="740718AD"/>
    <w:rsid w:val="74125E4D"/>
    <w:rsid w:val="7432235B"/>
    <w:rsid w:val="74711145"/>
    <w:rsid w:val="74D214FB"/>
    <w:rsid w:val="74DF0134"/>
    <w:rsid w:val="74EE481B"/>
    <w:rsid w:val="75431C52"/>
    <w:rsid w:val="759470DB"/>
    <w:rsid w:val="759929D8"/>
    <w:rsid w:val="762B5982"/>
    <w:rsid w:val="769B7323"/>
    <w:rsid w:val="772E46CC"/>
    <w:rsid w:val="773974BF"/>
    <w:rsid w:val="775A7F45"/>
    <w:rsid w:val="778F713D"/>
    <w:rsid w:val="77BA54AF"/>
    <w:rsid w:val="77C12F64"/>
    <w:rsid w:val="78245850"/>
    <w:rsid w:val="78633C65"/>
    <w:rsid w:val="78AA7075"/>
    <w:rsid w:val="78B964E3"/>
    <w:rsid w:val="797352EE"/>
    <w:rsid w:val="79B47801"/>
    <w:rsid w:val="79BF0534"/>
    <w:rsid w:val="79D71567"/>
    <w:rsid w:val="79FC52E4"/>
    <w:rsid w:val="79FF4DD4"/>
    <w:rsid w:val="7A3A04C5"/>
    <w:rsid w:val="7A6C1402"/>
    <w:rsid w:val="7A7960D6"/>
    <w:rsid w:val="7A835A05"/>
    <w:rsid w:val="7B034450"/>
    <w:rsid w:val="7B2C39A7"/>
    <w:rsid w:val="7B3D2EC1"/>
    <w:rsid w:val="7B4378BA"/>
    <w:rsid w:val="7B4539C4"/>
    <w:rsid w:val="7B971768"/>
    <w:rsid w:val="7BA40029"/>
    <w:rsid w:val="7BB87930"/>
    <w:rsid w:val="7C26471C"/>
    <w:rsid w:val="7D1818C9"/>
    <w:rsid w:val="7DAF7279"/>
    <w:rsid w:val="7EAF501B"/>
    <w:rsid w:val="7EF54E7A"/>
    <w:rsid w:val="7F7EEA3E"/>
    <w:rsid w:val="7F923E7B"/>
    <w:rsid w:val="7FDF64A1"/>
    <w:rsid w:val="7FE62C9E"/>
    <w:rsid w:val="D1C75F1D"/>
    <w:rsid w:val="DB8EA66D"/>
    <w:rsid w:val="EF4A1613"/>
    <w:rsid w:val="FFBCF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after="120"/>
      <w:outlineLvl w:val="3"/>
    </w:pPr>
    <w:rPr>
      <w:bCs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spacing w:line="520" w:lineRule="exact"/>
      <w:ind w:firstLine="624"/>
    </w:pPr>
    <w:rPr>
      <w:sz w:val="28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99"/>
    <w:pPr>
      <w:jc w:val="center"/>
    </w:pPr>
    <w:rPr>
      <w:b/>
      <w:kern w:val="0"/>
      <w:sz w:val="44"/>
      <w:szCs w:val="44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unhideWhenUsed/>
    <w:qFormat/>
    <w:uiPriority w:val="99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  <w:rPr>
      <w:szCs w:val="24"/>
    </w:rPr>
  </w:style>
  <w:style w:type="paragraph" w:styleId="12">
    <w:name w:val="table of figures"/>
    <w:basedOn w:val="1"/>
    <w:next w:val="1"/>
    <w:qFormat/>
    <w:uiPriority w:val="0"/>
    <w:pPr>
      <w:autoSpaceDE w:val="0"/>
      <w:autoSpaceDN w:val="0"/>
      <w:spacing w:line="360" w:lineRule="auto"/>
      <w:ind w:left="200" w:leftChars="200" w:hanging="200" w:hangingChars="200"/>
    </w:pPr>
    <w:rPr>
      <w:sz w:val="28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  <w:rPr>
      <w:rFonts w:eastAsia="宋体"/>
      <w:sz w:val="24"/>
    </w:rPr>
  </w:style>
  <w:style w:type="paragraph" w:styleId="14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Body Text First Indent"/>
    <w:basedOn w:val="5"/>
    <w:next w:val="1"/>
    <w:qFormat/>
    <w:uiPriority w:val="0"/>
    <w:pPr>
      <w:ind w:firstLine="420" w:firstLineChars="100"/>
    </w:p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character" w:styleId="21">
    <w:name w:val="annotation reference"/>
    <w:basedOn w:val="18"/>
    <w:qFormat/>
    <w:uiPriority w:val="0"/>
    <w:rPr>
      <w:sz w:val="21"/>
      <w:szCs w:val="21"/>
    </w:rPr>
  </w:style>
  <w:style w:type="paragraph" w:customStyle="1" w:styleId="22">
    <w:name w:val="Normal (Web)1"/>
    <w:basedOn w:val="1"/>
    <w:next w:val="23"/>
    <w:qFormat/>
    <w:uiPriority w:val="0"/>
    <w:pPr>
      <w:widowControl/>
      <w:jc w:val="left"/>
    </w:pPr>
    <w:rPr>
      <w:rFonts w:ascii="宋体"/>
      <w:kern w:val="0"/>
      <w:sz w:val="24"/>
      <w:szCs w:val="21"/>
    </w:rPr>
  </w:style>
  <w:style w:type="paragraph" w:customStyle="1" w:styleId="23">
    <w:name w:val="Date1"/>
    <w:basedOn w:val="1"/>
    <w:next w:val="1"/>
    <w:qFormat/>
    <w:uiPriority w:val="0"/>
    <w:pPr>
      <w:ind w:left="2500" w:leftChars="2500"/>
    </w:pPr>
  </w:style>
  <w:style w:type="paragraph" w:customStyle="1" w:styleId="24">
    <w:name w:val="Default"/>
    <w:basedOn w:val="25"/>
    <w:next w:val="1"/>
    <w:qFormat/>
    <w:uiPriority w:val="99"/>
    <w:pPr>
      <w:autoSpaceDE w:val="0"/>
      <w:autoSpaceDN w:val="0"/>
    </w:pPr>
    <w:rPr>
      <w:rFonts w:hAnsi="Times New Roman" w:cs="宋体"/>
      <w:color w:val="000000"/>
      <w:szCs w:val="24"/>
    </w:rPr>
  </w:style>
  <w:style w:type="paragraph" w:customStyle="1" w:styleId="25">
    <w:name w:val="纯文本1"/>
    <w:qFormat/>
    <w:uiPriority w:val="0"/>
    <w:pPr>
      <w:widowControl w:val="0"/>
      <w:adjustRightInd w:val="0"/>
      <w:textAlignment w:val="baseline"/>
    </w:pPr>
    <w:rPr>
      <w:rFonts w:ascii="宋体" w:hAnsi="宋体" w:eastAsia="宋体" w:cs="Times New Roman"/>
      <w:sz w:val="24"/>
      <w:lang w:val="en-US" w:eastAsia="zh-CN" w:bidi="ar-SA"/>
    </w:rPr>
  </w:style>
  <w:style w:type="paragraph" w:customStyle="1" w:styleId="26">
    <w:name w:val="baby-正文"/>
    <w:basedOn w:val="5"/>
    <w:next w:val="8"/>
    <w:qFormat/>
    <w:uiPriority w:val="0"/>
    <w:rPr>
      <w:rFonts w:ascii="仿宋_GB2312" w:hAnsi="宋体"/>
      <w:bCs/>
      <w:kern w:val="2"/>
      <w:sz w:val="30"/>
      <w:szCs w:val="24"/>
    </w:rPr>
  </w:style>
  <w:style w:type="paragraph" w:customStyle="1" w:styleId="27">
    <w:name w:val="TOC2"/>
    <w:basedOn w:val="1"/>
    <w:next w:val="1"/>
    <w:qFormat/>
    <w:uiPriority w:val="0"/>
    <w:pPr>
      <w:widowControl/>
      <w:spacing w:after="100" w:line="276" w:lineRule="auto"/>
      <w:ind w:left="220"/>
      <w:jc w:val="left"/>
      <w:textAlignment w:val="baseline"/>
    </w:pPr>
    <w:rPr>
      <w:rFonts w:ascii="Calibri" w:hAnsi="Calibri" w:eastAsia="宋体"/>
      <w:kern w:val="0"/>
      <w:sz w:val="22"/>
      <w:szCs w:val="22"/>
    </w:rPr>
  </w:style>
  <w:style w:type="paragraph" w:customStyle="1" w:styleId="28">
    <w:name w:val="CM4"/>
    <w:basedOn w:val="1"/>
    <w:next w:val="1"/>
    <w:qFormat/>
    <w:uiPriority w:val="0"/>
    <w:pPr>
      <w:autoSpaceDE w:val="0"/>
      <w:autoSpaceDN w:val="0"/>
      <w:adjustRightInd w:val="0"/>
      <w:spacing w:line="400" w:lineRule="atLeast"/>
      <w:jc w:val="left"/>
    </w:pPr>
    <w:rPr>
      <w:kern w:val="0"/>
      <w:sz w:val="24"/>
    </w:rPr>
  </w:style>
  <w:style w:type="paragraph" w:customStyle="1" w:styleId="29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30">
    <w:name w:val="郭巍齐齐哈尔报告格式"/>
    <w:basedOn w:val="1"/>
    <w:qFormat/>
    <w:uiPriority w:val="0"/>
    <w:pPr>
      <w:spacing w:line="480" w:lineRule="exact"/>
      <w:ind w:firstLine="560" w:firstLineChars="200"/>
    </w:pPr>
    <w:rPr>
      <w:spacing w:val="20"/>
      <w:sz w:val="24"/>
    </w:rPr>
  </w:style>
  <w:style w:type="paragraph" w:customStyle="1" w:styleId="31">
    <w:name w:val="正文（首行缩进两字） Char"/>
    <w:basedOn w:val="1"/>
    <w:qFormat/>
    <w:uiPriority w:val="0"/>
    <w:pPr>
      <w:widowControl/>
      <w:spacing w:line="360" w:lineRule="auto"/>
      <w:ind w:firstLine="420"/>
    </w:pPr>
    <w:rPr>
      <w:szCs w:val="20"/>
    </w:rPr>
  </w:style>
  <w:style w:type="paragraph" w:customStyle="1" w:styleId="32">
    <w:name w:val="正文文字缩进1"/>
    <w:basedOn w:val="7"/>
    <w:qFormat/>
    <w:uiPriority w:val="0"/>
    <w:pPr>
      <w:spacing w:after="0" w:line="360" w:lineRule="auto"/>
      <w:ind w:left="0" w:leftChars="0" w:firstLine="560"/>
    </w:pPr>
    <w:rPr>
      <w:rFonts w:ascii="黑体" w:hAnsi="Arial Black" w:eastAsia="黑体"/>
      <w:b/>
      <w:bCs/>
      <w:sz w:val="28"/>
      <w:szCs w:val="20"/>
    </w:rPr>
  </w:style>
  <w:style w:type="paragraph" w:customStyle="1" w:styleId="33">
    <w:name w:val="【正文】"/>
    <w:basedOn w:val="1"/>
    <w:qFormat/>
    <w:uiPriority w:val="0"/>
    <w:pPr>
      <w:widowControl/>
      <w:spacing w:line="500" w:lineRule="exact"/>
      <w:jc w:val="left"/>
    </w:pPr>
    <w:rPr>
      <w:rFonts w:ascii="宋体" w:hAnsi="Calibri" w:eastAsia="Calibri"/>
      <w:kern w:val="0"/>
      <w:sz w:val="20"/>
      <w:szCs w:val="20"/>
    </w:rPr>
  </w:style>
  <w:style w:type="paragraph" w:customStyle="1" w:styleId="34">
    <w:name w:val="C首行缩进正文"/>
    <w:basedOn w:val="33"/>
    <w:qFormat/>
    <w:uiPriority w:val="0"/>
    <w:rPr>
      <w:sz w:val="21"/>
    </w:rPr>
  </w:style>
  <w:style w:type="character" w:customStyle="1" w:styleId="35">
    <w:name w:val="[1]正文 Char Char"/>
    <w:basedOn w:val="18"/>
    <w:qFormat/>
    <w:uiPriority w:val="0"/>
    <w:rPr>
      <w:rFonts w:ascii="Calibri" w:hAnsi="Calibri" w:eastAsia="宋体"/>
      <w:kern w:val="2"/>
      <w:sz w:val="28"/>
      <w:szCs w:val="28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2885</Words>
  <Characters>3222</Characters>
  <Lines>24</Lines>
  <Paragraphs>6</Paragraphs>
  <TotalTime>14</TotalTime>
  <ScaleCrop>false</ScaleCrop>
  <LinksUpToDate>false</LinksUpToDate>
  <CharactersWithSpaces>3377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2022-07-24T09:06:00Z</dcterms:created>
  <dc:creator>Oo。.</dc:creator>
  <cp:lastModifiedBy>杨康</cp:lastModifiedBy>
  <cp:lastPrinted>2025-09-18T07:12:37Z</cp:lastPrinted>
  <dcterms:modified xsi:type="dcterms:W3CDTF">2025-09-18T07:19:30Z</dcterms:modified>
  <dc:title>鹤环法〔2015〕Z03号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38FF3BAC01A668F4C2A6CB6857ED0811_43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eyJoZGlkIjoiNzQzNDI2OTc4YjVkNzFhN2RjMGU2OGU5NGViMWI4YjYiLCJ1c2VySWQiOiIxMzgyMjY5Nzc2In0=</vt:lpwstr>
  </property>
</Properties>
</file>